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D4D4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61874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F9F06C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47F36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D1D14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AB83E4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248A71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BFAB28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295EE08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517CE6F">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821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4526AC2">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821—2013</w:t>
      </w:r>
      <w:r>
        <w:rPr>
          <w:rFonts w:hAnsi="黑体"/>
        </w:rPr>
        <w:fldChar w:fldCharType="end"/>
      </w:r>
      <w:bookmarkEnd w:id="8"/>
    </w:p>
    <w:p w14:paraId="4E83A82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D6F1FF6">
      <w:pPr>
        <w:pStyle w:val="50"/>
        <w:framePr w:w="9639" w:h="6976" w:hRule="exact" w:hSpace="0" w:vSpace="0" w:wrap="around" w:hAnchor="page" w:y="6408"/>
        <w:jc w:val="center"/>
        <w:rPr>
          <w:rFonts w:ascii="黑体" w:hAnsi="黑体" w:eastAsia="黑体"/>
          <w:b w:val="0"/>
          <w:bCs w:val="0"/>
          <w:w w:val="100"/>
        </w:rPr>
      </w:pPr>
    </w:p>
    <w:p w14:paraId="67D1698B">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春播中晚熟区玉米一深两增种植技术规程</w:t>
      </w:r>
      <w:r>
        <w:fldChar w:fldCharType="end"/>
      </w:r>
      <w:bookmarkEnd w:id="9"/>
    </w:p>
    <w:p w14:paraId="09822141">
      <w:pPr>
        <w:framePr w:w="9639" w:h="6974" w:hRule="exact" w:wrap="around" w:vAnchor="page" w:hAnchor="page" w:x="1419" w:y="6408" w:anchorLock="1"/>
        <w:ind w:left="-1418"/>
      </w:pPr>
    </w:p>
    <w:p w14:paraId="3AB147A7">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621BEF6E">
      <w:pPr>
        <w:framePr w:w="9639" w:h="6974" w:hRule="exact" w:wrap="around" w:vAnchor="page" w:hAnchor="page" w:x="1419" w:y="6408" w:anchorLock="1"/>
        <w:spacing w:line="760" w:lineRule="exact"/>
        <w:ind w:left="-1418"/>
      </w:pPr>
    </w:p>
    <w:p w14:paraId="2A97BEEC">
      <w:pPr>
        <w:pStyle w:val="125"/>
        <w:framePr w:w="9639" w:h="6974" w:hRule="exact" w:wrap="around" w:vAnchor="page" w:hAnchor="page" w:x="1419" w:y="6408" w:anchorLock="1"/>
        <w:textAlignment w:val="bottom"/>
        <w:rPr>
          <w:rFonts w:eastAsia="黑体"/>
          <w:szCs w:val="28"/>
        </w:rPr>
      </w:pPr>
    </w:p>
    <w:p w14:paraId="1FC47E3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B6B63A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3DA929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002062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F93D44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DA582B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07807F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BF039F">
      <w:pPr>
        <w:pStyle w:val="91"/>
        <w:spacing w:after="468"/>
        <w:rPr>
          <w:rFonts w:hint="eastAsia"/>
        </w:rPr>
      </w:pPr>
      <w:bookmarkStart w:id="21" w:name="BookMark1"/>
      <w:bookmarkStart w:id="22" w:name="_Toc181021235"/>
      <w:bookmarkStart w:id="23" w:name="_Toc181021265"/>
      <w:bookmarkStart w:id="24" w:name="_Toc181029557"/>
      <w:r>
        <w:rPr>
          <w:rFonts w:hint="eastAsia"/>
          <w:spacing w:val="320"/>
        </w:rPr>
        <w:t>目</w:t>
      </w:r>
      <w:r>
        <w:rPr>
          <w:rFonts w:hint="eastAsia"/>
        </w:rPr>
        <w:t>次</w:t>
      </w:r>
    </w:p>
    <w:p w14:paraId="0B9AADC3">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"_Toc181029586" </w:instrText>
      </w:r>
      <w:r>
        <w:fldChar w:fldCharType="separate"/>
      </w:r>
      <w:r>
        <w:rPr>
          <w:rStyle w:val="32"/>
          <w:rFonts w:hint="eastAsia"/>
        </w:rPr>
        <w:t>前言</w:t>
      </w:r>
      <w:r>
        <w:tab/>
      </w:r>
      <w:r>
        <w:fldChar w:fldCharType="begin"/>
      </w:r>
      <w:r>
        <w:instrText xml:space="preserve"> PAGEREF _Toc181029586 \h </w:instrText>
      </w:r>
      <w:r>
        <w:fldChar w:fldCharType="separate"/>
      </w:r>
      <w:r>
        <w:t>II</w:t>
      </w:r>
      <w:r>
        <w:fldChar w:fldCharType="end"/>
      </w:r>
      <w:r>
        <w:fldChar w:fldCharType="end"/>
      </w:r>
    </w:p>
    <w:p w14:paraId="7ADE93B1">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"_Toc181029587" </w:instrText>
      </w:r>
      <w:r>
        <w:fldChar w:fldCharType="separate"/>
      </w:r>
      <w:r>
        <w:rPr>
          <w:rStyle w:val="32"/>
        </w:rPr>
        <w:t xml:space="preserve">1 </w:t>
      </w:r>
      <w:r>
        <w:rPr>
          <w:rStyle w:val="32"/>
          <w:rFonts w:hint="eastAsia"/>
        </w:rPr>
        <w:t xml:space="preserve"> 范围</w:t>
      </w:r>
      <w:r>
        <w:tab/>
      </w:r>
      <w:r>
        <w:fldChar w:fldCharType="begin"/>
      </w:r>
      <w:r>
        <w:instrText xml:space="preserve"> PAGEREF _Toc181029587 \h </w:instrText>
      </w:r>
      <w:r>
        <w:fldChar w:fldCharType="separate"/>
      </w:r>
      <w:r>
        <w:t>1</w:t>
      </w:r>
      <w:r>
        <w:fldChar w:fldCharType="end"/>
      </w:r>
      <w:r>
        <w:fldChar w:fldCharType="end"/>
      </w:r>
    </w:p>
    <w:p w14:paraId="61F48F7D">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"_Toc181029588"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_Toc181029588 \h </w:instrText>
      </w:r>
      <w:r>
        <w:fldChar w:fldCharType="separate"/>
      </w:r>
      <w:r>
        <w:t>1</w:t>
      </w:r>
      <w:r>
        <w:fldChar w:fldCharType="end"/>
      </w:r>
      <w:r>
        <w:fldChar w:fldCharType="end"/>
      </w:r>
    </w:p>
    <w:p w14:paraId="2DB6FF97">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"_Toc181029589"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_Toc181029589 \h </w:instrText>
      </w:r>
      <w:r>
        <w:fldChar w:fldCharType="separate"/>
      </w:r>
      <w:r>
        <w:t>1</w:t>
      </w:r>
      <w:r>
        <w:fldChar w:fldCharType="end"/>
      </w:r>
      <w:r>
        <w:fldChar w:fldCharType="end"/>
      </w:r>
    </w:p>
    <w:p w14:paraId="71FAF7EA">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"_Toc181029590" </w:instrText>
      </w:r>
      <w:r>
        <w:fldChar w:fldCharType="separate"/>
      </w:r>
      <w:r>
        <w:rPr>
          <w:rStyle w:val="32"/>
        </w:rPr>
        <w:t xml:space="preserve">4 </w:t>
      </w:r>
      <w:r>
        <w:rPr>
          <w:rStyle w:val="32"/>
          <w:rFonts w:hint="eastAsia"/>
        </w:rPr>
        <w:t xml:space="preserve"> 选地与整地</w:t>
      </w:r>
      <w:r>
        <w:tab/>
      </w:r>
      <w:r>
        <w:fldChar w:fldCharType="begin"/>
      </w:r>
      <w:r>
        <w:instrText xml:space="preserve"> PAGEREF _Toc181029590 \h </w:instrText>
      </w:r>
      <w:r>
        <w:fldChar w:fldCharType="separate"/>
      </w:r>
      <w:r>
        <w:t>1</w:t>
      </w:r>
      <w:r>
        <w:fldChar w:fldCharType="end"/>
      </w:r>
      <w:r>
        <w:fldChar w:fldCharType="end"/>
      </w:r>
    </w:p>
    <w:p w14:paraId="2A3709C7">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"_Toc181029591" </w:instrText>
      </w:r>
      <w:r>
        <w:fldChar w:fldCharType="separate"/>
      </w:r>
      <w:r>
        <w:rPr>
          <w:rStyle w:val="32"/>
        </w:rPr>
        <w:t xml:space="preserve">5 </w:t>
      </w:r>
      <w:r>
        <w:rPr>
          <w:rStyle w:val="32"/>
          <w:rFonts w:hint="eastAsia"/>
        </w:rPr>
        <w:t xml:space="preserve"> 品种选用及种子质量</w:t>
      </w:r>
      <w:r>
        <w:tab/>
      </w:r>
      <w:r>
        <w:fldChar w:fldCharType="begin"/>
      </w:r>
      <w:r>
        <w:instrText xml:space="preserve"> PAGEREF _Toc181029591 \h </w:instrText>
      </w:r>
      <w:r>
        <w:fldChar w:fldCharType="separate"/>
      </w:r>
      <w:r>
        <w:t>2</w:t>
      </w:r>
      <w:r>
        <w:fldChar w:fldCharType="end"/>
      </w:r>
      <w:r>
        <w:fldChar w:fldCharType="end"/>
      </w:r>
    </w:p>
    <w:p w14:paraId="51EC0740">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"_Toc181029592" </w:instrText>
      </w:r>
      <w:r>
        <w:fldChar w:fldCharType="separate"/>
      </w:r>
      <w:r>
        <w:rPr>
          <w:rStyle w:val="32"/>
        </w:rPr>
        <w:t xml:space="preserve">6 </w:t>
      </w:r>
      <w:r>
        <w:rPr>
          <w:rStyle w:val="32"/>
          <w:rFonts w:hint="eastAsia"/>
        </w:rPr>
        <w:t xml:space="preserve"> 播种</w:t>
      </w:r>
      <w:r>
        <w:tab/>
      </w:r>
      <w:r>
        <w:fldChar w:fldCharType="begin"/>
      </w:r>
      <w:r>
        <w:instrText xml:space="preserve"> PAGEREF _Toc181029592 \h </w:instrText>
      </w:r>
      <w:r>
        <w:fldChar w:fldCharType="separate"/>
      </w:r>
      <w:r>
        <w:t>2</w:t>
      </w:r>
      <w:r>
        <w:fldChar w:fldCharType="end"/>
      </w:r>
      <w:r>
        <w:fldChar w:fldCharType="end"/>
      </w:r>
    </w:p>
    <w:p w14:paraId="489A0812">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"_Toc181029593" </w:instrText>
      </w:r>
      <w:r>
        <w:fldChar w:fldCharType="separate"/>
      </w:r>
      <w:r>
        <w:rPr>
          <w:rStyle w:val="32"/>
        </w:rPr>
        <w:t xml:space="preserve">7 </w:t>
      </w:r>
      <w:r>
        <w:rPr>
          <w:rStyle w:val="32"/>
          <w:rFonts w:hint="eastAsia"/>
        </w:rPr>
        <w:t xml:space="preserve"> 田间管理</w:t>
      </w:r>
      <w:r>
        <w:tab/>
      </w:r>
      <w:r>
        <w:fldChar w:fldCharType="begin"/>
      </w:r>
      <w:r>
        <w:instrText xml:space="preserve"> PAGEREF _Toc181029593 \h </w:instrText>
      </w:r>
      <w:r>
        <w:fldChar w:fldCharType="separate"/>
      </w:r>
      <w:r>
        <w:t>3</w:t>
      </w:r>
      <w:r>
        <w:fldChar w:fldCharType="end"/>
      </w:r>
      <w:r>
        <w:fldChar w:fldCharType="end"/>
      </w:r>
    </w:p>
    <w:p w14:paraId="637C9F41">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"_Toc181029594" </w:instrText>
      </w:r>
      <w:r>
        <w:fldChar w:fldCharType="separate"/>
      </w:r>
      <w:r>
        <w:rPr>
          <w:rStyle w:val="32"/>
        </w:rPr>
        <w:t xml:space="preserve">8 </w:t>
      </w:r>
      <w:r>
        <w:rPr>
          <w:rStyle w:val="32"/>
          <w:rFonts w:hint="eastAsia"/>
        </w:rPr>
        <w:t xml:space="preserve"> 主要病虫草害防治</w:t>
      </w:r>
      <w:r>
        <w:tab/>
      </w:r>
      <w:r>
        <w:fldChar w:fldCharType="begin"/>
      </w:r>
      <w:r>
        <w:instrText xml:space="preserve"> PAGEREF _Toc181029594 \h </w:instrText>
      </w:r>
      <w:r>
        <w:fldChar w:fldCharType="separate"/>
      </w:r>
      <w:r>
        <w:t>3</w:t>
      </w:r>
      <w:r>
        <w:fldChar w:fldCharType="end"/>
      </w:r>
      <w:r>
        <w:fldChar w:fldCharType="end"/>
      </w:r>
    </w:p>
    <w:p w14:paraId="26BA9DB9">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"_Toc181029595" </w:instrText>
      </w:r>
      <w:r>
        <w:fldChar w:fldCharType="separate"/>
      </w:r>
      <w:r>
        <w:rPr>
          <w:rStyle w:val="32"/>
        </w:rPr>
        <w:t xml:space="preserve">9 </w:t>
      </w:r>
      <w:r>
        <w:rPr>
          <w:rStyle w:val="32"/>
          <w:rFonts w:hint="eastAsia"/>
        </w:rPr>
        <w:t xml:space="preserve"> 收获</w:t>
      </w:r>
      <w:r>
        <w:tab/>
      </w:r>
      <w:r>
        <w:fldChar w:fldCharType="begin"/>
      </w:r>
      <w:r>
        <w:instrText xml:space="preserve"> PAGEREF _Toc181029595 \h </w:instrText>
      </w:r>
      <w:r>
        <w:fldChar w:fldCharType="separate"/>
      </w:r>
      <w:r>
        <w:t>3</w:t>
      </w:r>
      <w:r>
        <w:fldChar w:fldCharType="end"/>
      </w:r>
      <w:r>
        <w:fldChar w:fldCharType="end"/>
      </w:r>
    </w:p>
    <w:p w14:paraId="01CBFBAF">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"_Toc181029596" </w:instrText>
      </w:r>
      <w:r>
        <w:fldChar w:fldCharType="separate"/>
      </w:r>
      <w:r>
        <w:rPr>
          <w:rStyle w:val="32"/>
        </w:rPr>
        <w:t xml:space="preserve">10 </w:t>
      </w:r>
      <w:r>
        <w:rPr>
          <w:rStyle w:val="32"/>
          <w:rFonts w:hint="eastAsia"/>
        </w:rPr>
        <w:t xml:space="preserve"> 生产档案</w:t>
      </w:r>
      <w:r>
        <w:tab/>
      </w:r>
      <w:r>
        <w:fldChar w:fldCharType="begin"/>
      </w:r>
      <w:r>
        <w:instrText xml:space="preserve"> PAGEREF _Toc181029596 \h </w:instrText>
      </w:r>
      <w:r>
        <w:fldChar w:fldCharType="separate"/>
      </w:r>
      <w:r>
        <w:t>4</w:t>
      </w:r>
      <w:r>
        <w:fldChar w:fldCharType="end"/>
      </w:r>
      <w:r>
        <w:fldChar w:fldCharType="end"/>
      </w:r>
    </w:p>
    <w:p w14:paraId="425FEF62">
      <w:pPr>
        <w:pStyle w:val="19"/>
        <w:tabs>
          <w:tab w:val="right" w:leader="dot" w:pos="9344"/>
        </w:tabs>
        <w:rPr>
          <w:rFonts w:asciiTheme="minorHAnsi" w:hAnsiTheme="minorHAnsi" w:eastAsiaTheme="minorEastAsia" w:cstheme="minorBidi"/>
          <w:szCs w:val="22"/>
        </w:rPr>
      </w:pPr>
      <w:r>
        <w:fldChar w:fldCharType="begin"/>
      </w:r>
      <w:r>
        <w:instrText xml:space="preserve"> HYPERLINK \l "_Toc181029597" </w:instrText>
      </w:r>
      <w:r>
        <w:fldChar w:fldCharType="separate"/>
      </w:r>
      <w:r>
        <w:rPr>
          <w:rStyle w:val="32"/>
          <w:rFonts w:hint="eastAsia"/>
        </w:rPr>
        <w:t>附录A（资料性）</w:t>
      </w:r>
      <w:r>
        <w:rPr>
          <w:rStyle w:val="32"/>
        </w:rPr>
        <w:t xml:space="preserve">  </w:t>
      </w:r>
      <w:r>
        <w:rPr>
          <w:rStyle w:val="32"/>
          <w:rFonts w:hint="eastAsia"/>
        </w:rPr>
        <w:t>生产档案</w:t>
      </w:r>
      <w:r>
        <w:tab/>
      </w:r>
      <w:r>
        <w:fldChar w:fldCharType="begin"/>
      </w:r>
      <w:r>
        <w:instrText xml:space="preserve"> PAGEREF _Toc181029597 \h </w:instrText>
      </w:r>
      <w:r>
        <w:fldChar w:fldCharType="separate"/>
      </w:r>
      <w:r>
        <w:t>5</w:t>
      </w:r>
      <w:r>
        <w:fldChar w:fldCharType="end"/>
      </w:r>
      <w:r>
        <w:fldChar w:fldCharType="end"/>
      </w:r>
    </w:p>
    <w:p w14:paraId="22888167">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387D8C0">
      <w:pPr>
        <w:pStyle w:val="89"/>
        <w:spacing w:before="900" w:after="468"/>
      </w:pPr>
      <w:bookmarkStart w:id="25" w:name="_Toc181029586"/>
      <w:bookmarkStart w:id="26" w:name="BookMark2"/>
      <w:r>
        <w:rPr>
          <w:spacing w:val="320"/>
        </w:rPr>
        <w:t>前</w:t>
      </w:r>
      <w:r>
        <w:t>言</w:t>
      </w:r>
      <w:bookmarkEnd w:id="22"/>
      <w:bookmarkEnd w:id="23"/>
      <w:bookmarkEnd w:id="24"/>
      <w:bookmarkEnd w:id="25"/>
    </w:p>
    <w:p w14:paraId="5D60A390">
      <w:pPr>
        <w:pStyle w:val="56"/>
        <w:ind w:firstLine="420"/>
        <w:rPr>
          <w:rFonts w:ascii="Times New Roman"/>
        </w:rPr>
      </w:pPr>
      <w:r>
        <w:rPr>
          <w:rFonts w:hint="eastAsia"/>
        </w:rPr>
        <w:t>本文件按照</w:t>
      </w:r>
      <w:r>
        <w:rPr>
          <w:rFonts w:ascii="Times New Roman"/>
        </w:rPr>
        <w:t>GB/T 1.1—2020《标准化工作导则  第1部分：标准化文件的结构和起草规则》的规定起草。</w:t>
      </w:r>
    </w:p>
    <w:p w14:paraId="20F3D466">
      <w:pPr>
        <w:pStyle w:val="56"/>
        <w:ind w:firstLine="420"/>
        <w:rPr>
          <w:rFonts w:ascii="Times New Roman"/>
        </w:rPr>
      </w:pPr>
      <w:r>
        <w:rPr>
          <w:rFonts w:hint="eastAsia" w:ascii="Times New Roman"/>
        </w:rPr>
        <w:t>本文件代替DB14/T 821</w:t>
      </w:r>
      <w:r>
        <w:rPr>
          <w:rFonts w:ascii="Times New Roman"/>
        </w:rPr>
        <w:t>—</w:t>
      </w:r>
      <w:r>
        <w:rPr>
          <w:rFonts w:hint="eastAsia" w:ascii="Times New Roman"/>
        </w:rPr>
        <w:t>2013 《春播中晚熟玉米区耐密型品种一深两增高产栽培技术规程》，与DB14/T 821</w:t>
      </w:r>
      <w:r>
        <w:rPr>
          <w:rFonts w:ascii="Times New Roman"/>
        </w:rPr>
        <w:t>—</w:t>
      </w:r>
      <w:r>
        <w:rPr>
          <w:rFonts w:hint="eastAsia" w:ascii="Times New Roman"/>
        </w:rPr>
        <w:t>2013相比，除结构调整和编辑性改动外，主要技术变化如下：</w:t>
      </w:r>
    </w:p>
    <w:p w14:paraId="29A5774F">
      <w:pPr>
        <w:pStyle w:val="56"/>
        <w:ind w:firstLine="420"/>
        <w:rPr>
          <w:rFonts w:ascii="Times New Roman"/>
        </w:rPr>
      </w:pPr>
      <w:r>
        <w:rPr>
          <w:rFonts w:ascii="Times New Roman"/>
        </w:rPr>
        <w:t>——</w:t>
      </w:r>
      <w:r>
        <w:rPr>
          <w:rFonts w:hint="eastAsia" w:ascii="Times New Roman"/>
        </w:rPr>
        <w:t xml:space="preserve"> 更改了文件名称，更改为《春播中晚熟区玉米一深两增种植技术规程》；</w:t>
      </w:r>
    </w:p>
    <w:p w14:paraId="6C83F510">
      <w:pPr>
        <w:pStyle w:val="56"/>
        <w:ind w:firstLine="420" w:firstLineChars="0"/>
        <w:rPr>
          <w:rFonts w:ascii="Times New Roman"/>
        </w:rPr>
      </w:pPr>
      <w:r>
        <w:rPr>
          <w:rFonts w:ascii="Times New Roman"/>
        </w:rPr>
        <w:t>——</w:t>
      </w:r>
      <w:r>
        <w:rPr>
          <w:rFonts w:hint="eastAsia" w:ascii="Times New Roman"/>
        </w:rPr>
        <w:t xml:space="preserve"> 更改了“秸秆还田”的内容（见4.2.1.1，2013年版的4.2.1.1）；</w:t>
      </w:r>
    </w:p>
    <w:p w14:paraId="5566E254">
      <w:pPr>
        <w:pStyle w:val="56"/>
        <w:ind w:firstLine="420"/>
        <w:rPr>
          <w:rFonts w:ascii="Times New Roman"/>
        </w:rPr>
      </w:pPr>
      <w:r>
        <w:rPr>
          <w:rFonts w:ascii="Times New Roman"/>
        </w:rPr>
        <w:t>——</w:t>
      </w:r>
      <w:r>
        <w:rPr>
          <w:rFonts w:hint="eastAsia" w:ascii="Times New Roman"/>
        </w:rPr>
        <w:t xml:space="preserve"> 更改了“深松”的深度指标（见4.2.1.2，2013年版的4.2.1.2）；</w:t>
      </w:r>
    </w:p>
    <w:p w14:paraId="6692F4AF">
      <w:pPr>
        <w:pStyle w:val="56"/>
        <w:ind w:firstLine="420"/>
        <w:rPr>
          <w:rFonts w:ascii="Times New Roman"/>
        </w:rPr>
      </w:pPr>
      <w:r>
        <w:rPr>
          <w:rFonts w:ascii="Times New Roman"/>
        </w:rPr>
        <w:t>——</w:t>
      </w:r>
      <w:r>
        <w:rPr>
          <w:rFonts w:hint="eastAsia" w:ascii="Times New Roman"/>
        </w:rPr>
        <w:t xml:space="preserve"> 删除了“耙耱保墒”的内容（见4.2.1，2013年版的4.2.1.3）；</w:t>
      </w:r>
    </w:p>
    <w:p w14:paraId="30A64059">
      <w:pPr>
        <w:pStyle w:val="56"/>
        <w:ind w:firstLine="420"/>
        <w:rPr>
          <w:rFonts w:ascii="Times New Roman"/>
        </w:rPr>
      </w:pPr>
      <w:r>
        <w:rPr>
          <w:rFonts w:ascii="Times New Roman"/>
        </w:rPr>
        <w:t>——</w:t>
      </w:r>
      <w:r>
        <w:rPr>
          <w:rFonts w:hint="eastAsia" w:ascii="Times New Roman"/>
        </w:rPr>
        <w:t xml:space="preserve"> 更改了“基肥用量”的内容（见4.2.2.2，2013年版的4.2.2.3）；</w:t>
      </w:r>
    </w:p>
    <w:p w14:paraId="372756DB">
      <w:pPr>
        <w:pStyle w:val="56"/>
        <w:ind w:firstLine="420"/>
        <w:rPr>
          <w:rFonts w:ascii="Times New Roman"/>
        </w:rPr>
      </w:pPr>
      <w:r>
        <w:rPr>
          <w:rFonts w:ascii="Times New Roman"/>
        </w:rPr>
        <w:t>——</w:t>
      </w:r>
      <w:r>
        <w:rPr>
          <w:rFonts w:hint="eastAsia" w:ascii="Times New Roman"/>
        </w:rPr>
        <w:t xml:space="preserve"> 更改了“地膜覆盖播种”的内容（见6.2.2，2013年版的6.2.2）；</w:t>
      </w:r>
    </w:p>
    <w:p w14:paraId="2E391FB2">
      <w:pPr>
        <w:pStyle w:val="56"/>
        <w:ind w:firstLine="420"/>
        <w:rPr>
          <w:rFonts w:ascii="Times New Roman"/>
        </w:rPr>
      </w:pPr>
      <w:r>
        <w:rPr>
          <w:rFonts w:ascii="Times New Roman"/>
        </w:rPr>
        <w:t>——</w:t>
      </w:r>
      <w:r>
        <w:rPr>
          <w:rFonts w:hint="eastAsia" w:ascii="Times New Roman"/>
        </w:rPr>
        <w:t xml:space="preserve"> 删除了“留苗密度”的内容（见2013年版的7）；</w:t>
      </w:r>
    </w:p>
    <w:p w14:paraId="18BA807A">
      <w:pPr>
        <w:pStyle w:val="56"/>
        <w:ind w:firstLine="420"/>
        <w:rPr>
          <w:rFonts w:ascii="Times New Roman"/>
        </w:rPr>
      </w:pPr>
      <w:r>
        <w:rPr>
          <w:rFonts w:ascii="Times New Roman"/>
        </w:rPr>
        <w:t>——</w:t>
      </w:r>
      <w:r>
        <w:rPr>
          <w:rFonts w:hint="eastAsia" w:ascii="Times New Roman"/>
        </w:rPr>
        <w:t xml:space="preserve"> 删除了“定苗”的内容（见2013年版的8.1.2）；</w:t>
      </w:r>
    </w:p>
    <w:p w14:paraId="12E25F88">
      <w:pPr>
        <w:pStyle w:val="56"/>
        <w:ind w:firstLine="420"/>
        <w:rPr>
          <w:rFonts w:ascii="Times New Roman"/>
        </w:rPr>
      </w:pPr>
      <w:r>
        <w:rPr>
          <w:rFonts w:ascii="Times New Roman"/>
        </w:rPr>
        <w:t>——</w:t>
      </w:r>
      <w:r>
        <w:rPr>
          <w:rFonts w:hint="eastAsia" w:ascii="Times New Roman"/>
        </w:rPr>
        <w:t xml:space="preserve"> 删除了“去孽”的内容（见2013年版的8.2.3）；</w:t>
      </w:r>
    </w:p>
    <w:p w14:paraId="0E0FDFDF">
      <w:pPr>
        <w:pStyle w:val="56"/>
        <w:ind w:firstLine="420"/>
        <w:rPr>
          <w:rFonts w:ascii="Times New Roman"/>
        </w:rPr>
      </w:pPr>
      <w:r>
        <w:rPr>
          <w:rFonts w:ascii="Times New Roman"/>
        </w:rPr>
        <w:t>——</w:t>
      </w:r>
      <w:r>
        <w:rPr>
          <w:rFonts w:hint="eastAsia" w:ascii="Times New Roman"/>
        </w:rPr>
        <w:t xml:space="preserve"> 更改了“主要病虫草害防控”的内容（见8，2013年版的8.2.4）。</w:t>
      </w:r>
    </w:p>
    <w:p w14:paraId="12E94DCF">
      <w:pPr>
        <w:pStyle w:val="56"/>
        <w:ind w:firstLine="420"/>
        <w:rPr>
          <w:rFonts w:ascii="Times New Roman"/>
        </w:rPr>
      </w:pPr>
      <w:r>
        <w:rPr>
          <w:rFonts w:ascii="Times New Roman"/>
        </w:rPr>
        <w:t>本文件由山西省农业农村厅提出、组织实施和监督检查。</w:t>
      </w:r>
    </w:p>
    <w:p w14:paraId="0173FE24">
      <w:pPr>
        <w:pStyle w:val="56"/>
        <w:ind w:firstLine="420"/>
        <w:rPr>
          <w:rFonts w:ascii="Times New Roman"/>
        </w:rPr>
      </w:pPr>
      <w:r>
        <w:rPr>
          <w:rFonts w:ascii="Times New Roman"/>
        </w:rPr>
        <w:t>本文件由山西省市场监督管理局对标准的组织实施情况进行监督检查。</w:t>
      </w:r>
    </w:p>
    <w:p w14:paraId="76F1982F">
      <w:pPr>
        <w:pStyle w:val="56"/>
        <w:ind w:firstLine="420"/>
        <w:rPr>
          <w:rFonts w:ascii="Times New Roman"/>
        </w:rPr>
      </w:pPr>
      <w:r>
        <w:rPr>
          <w:rFonts w:ascii="Times New Roman"/>
        </w:rPr>
        <w:t>本文件由山西省农业标准化技术委员会（SXS/TC19）归口。</w:t>
      </w:r>
    </w:p>
    <w:p w14:paraId="20C731D6">
      <w:pPr>
        <w:pStyle w:val="56"/>
        <w:ind w:firstLine="420"/>
        <w:rPr>
          <w:rFonts w:ascii="Times New Roman"/>
        </w:rPr>
      </w:pPr>
      <w:r>
        <w:rPr>
          <w:rFonts w:ascii="Times New Roman"/>
        </w:rPr>
        <w:t>本文件起草单位：山西农业大学。</w:t>
      </w:r>
    </w:p>
    <w:p w14:paraId="7F99DFD8">
      <w:pPr>
        <w:pStyle w:val="56"/>
        <w:ind w:firstLine="420"/>
        <w:rPr>
          <w:rFonts w:ascii="Times New Roman"/>
        </w:rPr>
      </w:pPr>
      <w:r>
        <w:rPr>
          <w:rFonts w:ascii="Times New Roman"/>
        </w:rPr>
        <w:t>本文件主要起草人：李娜娜、郝建平、姚建民、李卫东、杜天庆、崔福柱。</w:t>
      </w:r>
    </w:p>
    <w:p w14:paraId="7697237D">
      <w:pPr>
        <w:pStyle w:val="56"/>
        <w:ind w:firstLine="420"/>
        <w:rPr>
          <w:rFonts w:ascii="Times New Roman"/>
        </w:rPr>
      </w:pPr>
      <w:r>
        <w:rPr>
          <w:rFonts w:ascii="Times New Roman"/>
        </w:rPr>
        <w:t>本文件及其所代替文件的历次版本发布情况为：</w:t>
      </w:r>
    </w:p>
    <w:p w14:paraId="5A0A8DE2">
      <w:pPr>
        <w:pStyle w:val="56"/>
        <w:ind w:firstLine="420"/>
        <w:rPr>
          <w:rFonts w:ascii="Times New Roman"/>
        </w:rPr>
      </w:pPr>
      <w:r>
        <w:rPr>
          <w:rFonts w:ascii="Times New Roman"/>
        </w:rPr>
        <w:t>—— 2013年首次发布为DB14/T 821—</w:t>
      </w:r>
      <w:bookmarkStart w:id="78" w:name="_GoBack"/>
      <w:bookmarkEnd w:id="78"/>
      <w:r>
        <w:rPr>
          <w:rFonts w:ascii="Times New Roman"/>
        </w:rPr>
        <w:t>2013；</w:t>
      </w:r>
    </w:p>
    <w:p w14:paraId="48ECBC8B">
      <w:pPr>
        <w:pStyle w:val="56"/>
        <w:ind w:firstLine="420"/>
        <w:rPr>
          <w:rFonts w:ascii="Times New Roman"/>
        </w:rPr>
      </w:pPr>
      <w:r>
        <w:rPr>
          <w:rFonts w:ascii="Times New Roman"/>
        </w:rPr>
        <w:t>—— 本次为第一次修订。</w:t>
      </w:r>
    </w:p>
    <w:p w14:paraId="33783477">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2383C2A6">
      <w:pPr>
        <w:spacing w:line="20" w:lineRule="exact"/>
        <w:jc w:val="center"/>
        <w:rPr>
          <w:rFonts w:ascii="黑体" w:hAnsi="黑体" w:eastAsia="黑体"/>
          <w:sz w:val="32"/>
          <w:szCs w:val="32"/>
        </w:rPr>
      </w:pPr>
      <w:bookmarkStart w:id="27" w:name="BookMark4"/>
    </w:p>
    <w:p w14:paraId="6B419EBB">
      <w:pPr>
        <w:spacing w:line="20" w:lineRule="exact"/>
        <w:jc w:val="center"/>
        <w:rPr>
          <w:rFonts w:ascii="黑体" w:hAnsi="黑体" w:eastAsia="黑体"/>
          <w:sz w:val="32"/>
          <w:szCs w:val="32"/>
        </w:rPr>
      </w:pPr>
    </w:p>
    <w:sdt>
      <w:sdtPr>
        <w:tag w:val="NEW_STAND_NAME"/>
        <w:id w:val="595910757"/>
        <w:lock w:val="sdtLocked"/>
        <w:placeholder>
          <w:docPart w:val="7BD9D27D271B4E81805E14B68C39C73C"/>
        </w:placeholder>
      </w:sdtPr>
      <w:sdtContent>
        <w:p w14:paraId="691703D2">
          <w:pPr>
            <w:pStyle w:val="177"/>
            <w:spacing w:before="3" w:beforeLines="1" w:after="686" w:afterLines="220"/>
          </w:pPr>
          <w:bookmarkStart w:id="28" w:name="NEW_STAND_NAME"/>
          <w:r>
            <w:rPr>
              <w:rFonts w:hint="eastAsia"/>
            </w:rPr>
            <w:t>春播中晚熟区玉米一深两增种植技术规程</w:t>
          </w:r>
        </w:p>
      </w:sdtContent>
    </w:sdt>
    <w:bookmarkEnd w:id="28"/>
    <w:p w14:paraId="1E2BD345">
      <w:pPr>
        <w:pStyle w:val="104"/>
        <w:spacing w:before="312" w:after="312"/>
      </w:pPr>
      <w:bookmarkStart w:id="29" w:name="_Toc24884218"/>
      <w:bookmarkStart w:id="30" w:name="_Toc97191423"/>
      <w:bookmarkStart w:id="31" w:name="_Toc26718930"/>
      <w:bookmarkStart w:id="32" w:name="_Toc181029558"/>
      <w:bookmarkStart w:id="33" w:name="_Toc26986530"/>
      <w:bookmarkStart w:id="34" w:name="_Toc181029587"/>
      <w:bookmarkStart w:id="35" w:name="_Toc17233325"/>
      <w:bookmarkStart w:id="36" w:name="_Toc24884211"/>
      <w:bookmarkStart w:id="37" w:name="_Toc26986771"/>
      <w:bookmarkStart w:id="38" w:name="_Toc26648465"/>
      <w:bookmarkStart w:id="39" w:name="_Toc181021236"/>
      <w:bookmarkStart w:id="40" w:name="_Toc181021266"/>
      <w:bookmarkStart w:id="41" w:name="_Toc17233333"/>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1CDA0E10">
      <w:pPr>
        <w:pStyle w:val="231"/>
        <w:rPr>
          <w:rFonts w:hint="eastAsia" w:hAnsi="宋体"/>
          <w:color w:val="000000"/>
        </w:rPr>
      </w:pPr>
      <w:bookmarkStart w:id="42" w:name="_Toc24884212"/>
      <w:bookmarkStart w:id="43" w:name="_Toc17233326"/>
      <w:bookmarkStart w:id="44" w:name="_Toc17233334"/>
      <w:bookmarkStart w:id="45" w:name="_Toc24884219"/>
      <w:bookmarkStart w:id="46" w:name="_Toc26648466"/>
      <w:r>
        <w:rPr>
          <w:rFonts w:hint="eastAsia" w:hAnsi="宋体"/>
          <w:color w:val="000000"/>
        </w:rPr>
        <w:t>本文件规定了春播中晚熟区玉米一深两增种植技术的选地与整地、品种及种子、播种、田间管理、病虫草害防治、收获和生产档案。</w:t>
      </w:r>
    </w:p>
    <w:p w14:paraId="6A97A971">
      <w:pPr>
        <w:pStyle w:val="231"/>
      </w:pPr>
      <w:r>
        <w:rPr>
          <w:rFonts w:hint="eastAsia" w:hAnsi="宋体"/>
          <w:color w:val="000000"/>
        </w:rPr>
        <w:t>本文件适用于春播中晚熟区水浇地和高肥旱地的玉米种植。</w:t>
      </w:r>
    </w:p>
    <w:p w14:paraId="4F55456D">
      <w:pPr>
        <w:pStyle w:val="104"/>
        <w:spacing w:before="312" w:after="312"/>
      </w:pPr>
      <w:bookmarkStart w:id="47" w:name="_Toc26986531"/>
      <w:bookmarkStart w:id="48" w:name="_Toc181029588"/>
      <w:bookmarkStart w:id="49" w:name="_Toc26986772"/>
      <w:bookmarkStart w:id="50" w:name="_Toc181029559"/>
      <w:bookmarkStart w:id="51" w:name="_Toc181021267"/>
      <w:bookmarkStart w:id="52" w:name="_Toc181021237"/>
      <w:bookmarkStart w:id="53" w:name="_Toc26718931"/>
      <w:bookmarkStart w:id="54" w:name="_Toc97191424"/>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D509E651509842B1A3D1266D186C58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2E070B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476C0D">
      <w:pPr>
        <w:pStyle w:val="56"/>
        <w:ind w:firstLine="420"/>
        <w:rPr>
          <w:rFonts w:hint="eastAsia" w:ascii="Times New Roman"/>
        </w:rPr>
      </w:pPr>
      <w:r>
        <w:rPr>
          <w:rFonts w:hint="eastAsia" w:ascii="Times New Roman"/>
        </w:rPr>
        <w:t>GB 4404.1 粮食作物种子 第1部分：禾谷类</w:t>
      </w:r>
    </w:p>
    <w:p w14:paraId="597E0AEF">
      <w:pPr>
        <w:pStyle w:val="56"/>
        <w:ind w:firstLine="420"/>
        <w:rPr>
          <w:rFonts w:hint="eastAsia" w:ascii="Times New Roman"/>
        </w:rPr>
      </w:pPr>
      <w:r>
        <w:rPr>
          <w:rFonts w:hint="eastAsia" w:ascii="Times New Roman"/>
        </w:rPr>
        <w:t xml:space="preserve">GB/T 8321 （所有部分）农药合理使用准则 </w:t>
      </w:r>
    </w:p>
    <w:p w14:paraId="6B81790A">
      <w:pPr>
        <w:pStyle w:val="56"/>
        <w:ind w:firstLine="420"/>
        <w:rPr>
          <w:rFonts w:hint="eastAsia" w:ascii="Times New Roman"/>
        </w:rPr>
      </w:pPr>
      <w:r>
        <w:rPr>
          <w:rFonts w:hint="eastAsia" w:ascii="Times New Roman"/>
        </w:rPr>
        <w:t>GB 13735 聚乙烯吹塑农用地面覆盖薄膜</w:t>
      </w:r>
    </w:p>
    <w:p w14:paraId="00B2FF64">
      <w:pPr>
        <w:pStyle w:val="56"/>
        <w:ind w:firstLine="420"/>
        <w:rPr>
          <w:rFonts w:hint="eastAsia" w:ascii="Times New Roman"/>
        </w:rPr>
      </w:pPr>
      <w:r>
        <w:rPr>
          <w:rFonts w:hint="eastAsia" w:ascii="Times New Roman"/>
        </w:rPr>
        <w:t>GB/T 15671 农作物薄膜包衣种子技术条件</w:t>
      </w:r>
    </w:p>
    <w:p w14:paraId="1D2B4FAA">
      <w:pPr>
        <w:pStyle w:val="56"/>
        <w:ind w:firstLine="420"/>
        <w:rPr>
          <w:rFonts w:hint="eastAsia" w:ascii="Times New Roman"/>
        </w:rPr>
      </w:pPr>
      <w:r>
        <w:rPr>
          <w:rFonts w:hint="eastAsia" w:ascii="Times New Roman"/>
        </w:rPr>
        <w:t>JB/T 7732 铺膜播种机</w:t>
      </w:r>
    </w:p>
    <w:p w14:paraId="41646776">
      <w:pPr>
        <w:pStyle w:val="56"/>
        <w:ind w:firstLine="420"/>
        <w:rPr>
          <w:rFonts w:hint="eastAsia" w:ascii="Times New Roman"/>
        </w:rPr>
      </w:pPr>
      <w:r>
        <w:rPr>
          <w:rFonts w:hint="eastAsia" w:ascii="Times New Roman"/>
        </w:rPr>
        <w:t>JB/T 10293 单粒(精密)播种机技术条件</w:t>
      </w:r>
    </w:p>
    <w:p w14:paraId="78788989">
      <w:pPr>
        <w:pStyle w:val="56"/>
        <w:ind w:firstLine="420"/>
        <w:rPr>
          <w:rFonts w:hint="eastAsia" w:ascii="Times New Roman"/>
        </w:rPr>
      </w:pPr>
      <w:r>
        <w:rPr>
          <w:rFonts w:hint="eastAsia" w:ascii="Times New Roman"/>
        </w:rPr>
        <w:t>NY/T 496 肥料合理使用准则 通则</w:t>
      </w:r>
    </w:p>
    <w:p w14:paraId="1BD91D7A">
      <w:pPr>
        <w:pStyle w:val="56"/>
        <w:ind w:firstLine="420"/>
        <w:rPr>
          <w:rFonts w:ascii="Times New Roman"/>
        </w:rPr>
      </w:pPr>
      <w:r>
        <w:rPr>
          <w:rFonts w:hint="eastAsia" w:ascii="Times New Roman"/>
        </w:rPr>
        <w:t>NY/T 1997 除草剂安全使用技术规范通则</w:t>
      </w:r>
    </w:p>
    <w:p w14:paraId="07BE9286">
      <w:pPr>
        <w:pStyle w:val="104"/>
        <w:spacing w:before="312" w:after="312"/>
      </w:pPr>
      <w:bookmarkStart w:id="55" w:name="_Toc97191425"/>
      <w:bookmarkStart w:id="56" w:name="_Toc181021238"/>
      <w:bookmarkStart w:id="57" w:name="_Toc181021268"/>
      <w:bookmarkStart w:id="58" w:name="_Toc181029560"/>
      <w:bookmarkStart w:id="59" w:name="_Toc181029589"/>
      <w:r>
        <w:rPr>
          <w:rFonts w:hint="eastAsia"/>
          <w:szCs w:val="21"/>
        </w:rPr>
        <w:t>术语和定义</w:t>
      </w:r>
      <w:bookmarkEnd w:id="55"/>
      <w:bookmarkEnd w:id="56"/>
      <w:bookmarkEnd w:id="57"/>
      <w:bookmarkEnd w:id="58"/>
      <w:bookmarkEnd w:id="59"/>
    </w:p>
    <w:sdt>
      <w:sdtPr>
        <w:id w:val="-1909835108"/>
        <w:placeholder>
          <w:docPart w:val="B2513C7A76B4436CAF1FB4101B835E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4FF826">
          <w:pPr>
            <w:pStyle w:val="56"/>
            <w:ind w:firstLine="420"/>
          </w:pPr>
          <w:bookmarkStart w:id="60" w:name="_Toc26986532"/>
          <w:bookmarkEnd w:id="60"/>
          <w:r>
            <w:t>下列术语和定义适用于本文件。</w:t>
          </w:r>
        </w:p>
      </w:sdtContent>
    </w:sdt>
    <w:p w14:paraId="5DAEAED7">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一深两增</w:t>
      </w:r>
    </w:p>
    <w:p w14:paraId="1C65F6BC">
      <w:pPr>
        <w:pStyle w:val="56"/>
        <w:ind w:firstLine="420"/>
        <w:rPr>
          <w:rFonts w:hint="eastAsia"/>
        </w:rPr>
      </w:pPr>
      <w:r>
        <w:rPr>
          <w:rFonts w:hint="eastAsia" w:ascii="Times New Roman"/>
        </w:rPr>
        <w:t>一深指机械化深耕或深松；两增，一是通过增施农家肥、秸秆还田等措施增加土壤有机质，二是科学合理增加种植密度。</w:t>
      </w:r>
    </w:p>
    <w:p w14:paraId="3C33C03C">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耐密型品种</w:t>
      </w:r>
    </w:p>
    <w:p w14:paraId="3B0FF7CA">
      <w:pPr>
        <w:pStyle w:val="56"/>
        <w:ind w:firstLine="420"/>
        <w:rPr>
          <w:rFonts w:hint="eastAsia" w:ascii="Times New Roman"/>
        </w:rPr>
      </w:pPr>
      <w:r>
        <w:rPr>
          <w:rFonts w:hint="eastAsia" w:ascii="Times New Roman"/>
        </w:rPr>
        <w:t>在4 000 株/666.7 m</w:t>
      </w:r>
      <w:r>
        <w:rPr>
          <w:rFonts w:hint="eastAsia" w:ascii="Times New Roman"/>
          <w:vertAlign w:val="superscript"/>
        </w:rPr>
        <w:t>2</w:t>
      </w:r>
      <w:r>
        <w:rPr>
          <w:rFonts w:hint="eastAsia" w:ascii="Times New Roman"/>
        </w:rPr>
        <w:t>以上的留苗密度下，能够表现高产、抗倒的玉米品种。</w:t>
      </w:r>
    </w:p>
    <w:p w14:paraId="461C09E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春播中晚熟玉米区</w:t>
      </w:r>
    </w:p>
    <w:p w14:paraId="6A5D73A0">
      <w:pPr>
        <w:pStyle w:val="56"/>
        <w:ind w:firstLine="420"/>
        <w:rPr>
          <w:rFonts w:hint="eastAsia" w:ascii="Times New Roman"/>
        </w:rPr>
      </w:pPr>
      <w:r>
        <w:rPr>
          <w:rFonts w:hint="eastAsia" w:ascii="Times New Roman"/>
        </w:rPr>
        <w:t>山西省玉米区划方案中，春季日平均气温稳定</w:t>
      </w:r>
      <w:r>
        <w:rPr>
          <w:rFonts w:ascii="Times New Roman"/>
        </w:rPr>
        <w:t>通过10 ℃至秋季日平均气温稳定通过15 ℃期间活动积温2</w:t>
      </w:r>
      <w:r>
        <w:rPr>
          <w:rFonts w:hint="eastAsia" w:ascii="Times New Roman"/>
        </w:rPr>
        <w:t xml:space="preserve"> </w:t>
      </w:r>
      <w:r>
        <w:rPr>
          <w:rFonts w:ascii="Times New Roman"/>
        </w:rPr>
        <w:t>800 ℃～3</w:t>
      </w:r>
      <w:r>
        <w:rPr>
          <w:rFonts w:hint="eastAsia" w:ascii="Times New Roman"/>
        </w:rPr>
        <w:t xml:space="preserve"> </w:t>
      </w:r>
      <w:r>
        <w:rPr>
          <w:rFonts w:ascii="Times New Roman"/>
        </w:rPr>
        <w:t>200 ℃的区域为春播中晚熟玉米区。</w:t>
      </w:r>
    </w:p>
    <w:p w14:paraId="02B1D581">
      <w:pPr>
        <w:pStyle w:val="104"/>
        <w:spacing w:before="312" w:after="312"/>
        <w:rPr>
          <w:rFonts w:hint="eastAsia"/>
        </w:rPr>
      </w:pPr>
      <w:bookmarkStart w:id="61" w:name="_Toc181029561"/>
      <w:bookmarkStart w:id="62" w:name="_Toc181029590"/>
      <w:r>
        <w:rPr>
          <w:rFonts w:hint="eastAsia"/>
        </w:rPr>
        <w:t>选地与整地</w:t>
      </w:r>
      <w:bookmarkEnd w:id="61"/>
      <w:bookmarkEnd w:id="62"/>
    </w:p>
    <w:p w14:paraId="268DC8C9">
      <w:pPr>
        <w:pStyle w:val="105"/>
        <w:spacing w:before="156" w:after="156"/>
        <w:rPr>
          <w:rFonts w:hint="eastAsia"/>
        </w:rPr>
      </w:pPr>
      <w:r>
        <w:rPr>
          <w:rFonts w:hint="eastAsia"/>
        </w:rPr>
        <w:t>选地</w:t>
      </w:r>
    </w:p>
    <w:p w14:paraId="416EECDC">
      <w:pPr>
        <w:pStyle w:val="56"/>
        <w:ind w:firstLine="420"/>
        <w:rPr>
          <w:rFonts w:hint="eastAsia" w:ascii="Times New Roman"/>
        </w:rPr>
      </w:pPr>
      <w:r>
        <w:rPr>
          <w:rFonts w:hint="eastAsia" w:ascii="Times New Roman"/>
        </w:rPr>
        <w:t>选择土层深厚、土质疏松、保水保肥条件较好的水浇地或高肥力旱地。</w:t>
      </w:r>
    </w:p>
    <w:p w14:paraId="281B0472">
      <w:pPr>
        <w:pStyle w:val="105"/>
        <w:spacing w:before="156" w:after="156"/>
        <w:rPr>
          <w:rFonts w:hint="eastAsia"/>
        </w:rPr>
      </w:pPr>
      <w:r>
        <w:rPr>
          <w:rFonts w:hint="eastAsia"/>
        </w:rPr>
        <w:t>整地</w:t>
      </w:r>
    </w:p>
    <w:p w14:paraId="34FD58C9">
      <w:pPr>
        <w:pStyle w:val="65"/>
        <w:spacing w:before="156" w:after="156"/>
        <w:rPr>
          <w:rFonts w:hint="eastAsia"/>
        </w:rPr>
      </w:pPr>
      <w:r>
        <w:rPr>
          <w:rFonts w:hint="eastAsia"/>
        </w:rPr>
        <w:t>秋季整地</w:t>
      </w:r>
    </w:p>
    <w:p w14:paraId="46B4FBE9">
      <w:pPr>
        <w:pStyle w:val="94"/>
        <w:spacing w:before="156" w:after="156"/>
        <w:rPr>
          <w:rFonts w:hint="eastAsia"/>
        </w:rPr>
      </w:pPr>
      <w:r>
        <w:rPr>
          <w:rFonts w:hint="eastAsia"/>
        </w:rPr>
        <w:t>秸秆还田</w:t>
      </w:r>
    </w:p>
    <w:p w14:paraId="1E4ADFD1">
      <w:pPr>
        <w:pStyle w:val="56"/>
        <w:ind w:firstLine="420"/>
        <w:rPr>
          <w:rFonts w:hint="eastAsia" w:ascii="Times New Roman"/>
        </w:rPr>
      </w:pPr>
      <w:r>
        <w:rPr>
          <w:rFonts w:hint="eastAsia" w:ascii="Times New Roman"/>
        </w:rPr>
        <w:t>前茬作物收获机收获后，每666.7 m</w:t>
      </w:r>
      <w:r>
        <w:rPr>
          <w:rFonts w:hint="eastAsia" w:ascii="Times New Roman"/>
          <w:vertAlign w:val="superscript"/>
        </w:rPr>
        <w:t>2</w:t>
      </w:r>
      <w:r>
        <w:rPr>
          <w:rFonts w:hint="eastAsia" w:ascii="Times New Roman"/>
        </w:rPr>
        <w:t>施优质腐熟农家肥2 000 kg～3 000 kg，然后进行深耕将秸秆和农家肥施入土中，或深松后再机械化旋耕将秸秆和农家肥施入土中；机收留茬较高及采用人工收获前茬作物后，先把秸秆机械化粉碎后增施农家肥再深耕或深松。</w:t>
      </w:r>
    </w:p>
    <w:p w14:paraId="4E07BC12">
      <w:pPr>
        <w:pStyle w:val="94"/>
        <w:spacing w:before="156" w:after="156"/>
        <w:rPr>
          <w:rFonts w:hint="eastAsia"/>
        </w:rPr>
      </w:pPr>
      <w:r>
        <w:rPr>
          <w:rFonts w:hint="eastAsia"/>
        </w:rPr>
        <w:t>深耕深松</w:t>
      </w:r>
    </w:p>
    <w:p w14:paraId="0337D80C">
      <w:pPr>
        <w:pStyle w:val="56"/>
        <w:ind w:firstLine="420"/>
        <w:rPr>
          <w:rFonts w:hint="eastAsia" w:ascii="Times New Roman"/>
        </w:rPr>
      </w:pPr>
      <w:r>
        <w:rPr>
          <w:rFonts w:hint="eastAsia" w:ascii="Times New Roman"/>
        </w:rPr>
        <w:t>采用机械化深耕25 cm以上或深松30 cm～35 cm。深耕或深松前结合秸秆还田每666.7 m</w:t>
      </w:r>
      <w:r>
        <w:rPr>
          <w:rFonts w:hint="eastAsia" w:ascii="Times New Roman"/>
          <w:vertAlign w:val="superscript"/>
        </w:rPr>
        <w:t>2</w:t>
      </w:r>
      <w:r>
        <w:rPr>
          <w:rFonts w:hint="eastAsia" w:ascii="Times New Roman"/>
        </w:rPr>
        <w:t>施尿素5 kg～8 kg以加快秸秆腐烂。</w:t>
      </w:r>
    </w:p>
    <w:p w14:paraId="5673DBFB">
      <w:pPr>
        <w:pStyle w:val="65"/>
        <w:spacing w:before="156" w:after="156"/>
        <w:rPr>
          <w:rFonts w:hint="eastAsia"/>
        </w:rPr>
      </w:pPr>
      <w:r>
        <w:rPr>
          <w:rFonts w:hint="eastAsia"/>
        </w:rPr>
        <w:t>春季整地</w:t>
      </w:r>
    </w:p>
    <w:p w14:paraId="227AFA9D">
      <w:pPr>
        <w:pStyle w:val="94"/>
        <w:spacing w:before="156" w:after="156"/>
        <w:rPr>
          <w:rFonts w:hint="eastAsia"/>
        </w:rPr>
      </w:pPr>
      <w:r>
        <w:rPr>
          <w:rFonts w:hint="eastAsia"/>
        </w:rPr>
        <w:t>播前整地</w:t>
      </w:r>
    </w:p>
    <w:p w14:paraId="2DD603B3">
      <w:pPr>
        <w:pStyle w:val="56"/>
        <w:ind w:firstLine="420"/>
        <w:rPr>
          <w:rFonts w:hint="eastAsia" w:ascii="Times New Roman"/>
        </w:rPr>
      </w:pPr>
      <w:r>
        <w:rPr>
          <w:rFonts w:hint="eastAsia" w:ascii="Times New Roman"/>
        </w:rPr>
        <w:t>水浇地底墒不足的地块播前一周灌底墒水，2 d～3 d后旋耕，使土壤细碎平整，地表无残茬、残膜，待播种；底墒足的地块播前2 d～3 d旋耕，使土壤细碎平整，地表无残茬、残膜，待播种。</w:t>
      </w:r>
    </w:p>
    <w:p w14:paraId="5BF87FCC">
      <w:pPr>
        <w:pStyle w:val="94"/>
        <w:spacing w:before="156" w:after="156"/>
        <w:rPr>
          <w:rFonts w:hint="eastAsia"/>
        </w:rPr>
      </w:pPr>
      <w:r>
        <w:rPr>
          <w:rFonts w:hint="eastAsia"/>
        </w:rPr>
        <w:t>基肥用量</w:t>
      </w:r>
    </w:p>
    <w:p w14:paraId="414CFAD6">
      <w:pPr>
        <w:pStyle w:val="56"/>
        <w:ind w:firstLine="420"/>
        <w:rPr>
          <w:rFonts w:hint="eastAsia" w:ascii="Times New Roman"/>
        </w:rPr>
      </w:pPr>
      <w:r>
        <w:rPr>
          <w:rFonts w:hint="eastAsia" w:ascii="Times New Roman"/>
        </w:rPr>
        <w:t>每666.7 m</w:t>
      </w:r>
      <w:r>
        <w:rPr>
          <w:rFonts w:hint="eastAsia" w:ascii="Times New Roman"/>
          <w:vertAlign w:val="superscript"/>
        </w:rPr>
        <w:t>2</w:t>
      </w:r>
      <w:r>
        <w:rPr>
          <w:rFonts w:hint="eastAsia" w:ascii="Times New Roman"/>
        </w:rPr>
        <w:t>施相当于纯氮6 kg～8 kg、五氧化二磷5 kg～8 kg、氧化钾4 kg～5 kg的化肥。通过种肥同播的方式施入。肥料使用应符合NY/T 496的规定。</w:t>
      </w:r>
    </w:p>
    <w:p w14:paraId="7FF309D0">
      <w:pPr>
        <w:pStyle w:val="104"/>
        <w:spacing w:before="312" w:after="312"/>
        <w:rPr>
          <w:rFonts w:hint="eastAsia"/>
        </w:rPr>
      </w:pPr>
      <w:bookmarkStart w:id="63" w:name="_Toc181029562"/>
      <w:bookmarkStart w:id="64" w:name="_Toc181029591"/>
      <w:r>
        <w:rPr>
          <w:rFonts w:hint="eastAsia"/>
        </w:rPr>
        <w:t>品种选用及种子质量</w:t>
      </w:r>
      <w:bookmarkEnd w:id="63"/>
      <w:bookmarkEnd w:id="64"/>
    </w:p>
    <w:p w14:paraId="3D719294">
      <w:pPr>
        <w:pStyle w:val="105"/>
        <w:spacing w:before="156" w:after="156"/>
        <w:rPr>
          <w:rFonts w:hint="eastAsia"/>
        </w:rPr>
      </w:pPr>
      <w:r>
        <w:rPr>
          <w:rFonts w:hint="eastAsia"/>
        </w:rPr>
        <w:t>品种选用</w:t>
      </w:r>
    </w:p>
    <w:p w14:paraId="58BC5B6D">
      <w:pPr>
        <w:pStyle w:val="56"/>
        <w:ind w:firstLine="420"/>
        <w:rPr>
          <w:rFonts w:hint="eastAsia" w:ascii="Times New Roman"/>
        </w:rPr>
      </w:pPr>
      <w:r>
        <w:rPr>
          <w:rFonts w:hint="eastAsia" w:ascii="Times New Roman"/>
        </w:rPr>
        <w:t>选用经国家或省级审定通过的耐密型玉米品种。</w:t>
      </w:r>
    </w:p>
    <w:p w14:paraId="14A74DB3">
      <w:pPr>
        <w:pStyle w:val="105"/>
        <w:spacing w:before="156" w:after="156"/>
        <w:rPr>
          <w:rFonts w:hint="eastAsia"/>
        </w:rPr>
      </w:pPr>
      <w:r>
        <w:rPr>
          <w:rFonts w:hint="eastAsia"/>
        </w:rPr>
        <w:t>种子质量</w:t>
      </w:r>
    </w:p>
    <w:p w14:paraId="34BBC3DF">
      <w:pPr>
        <w:pStyle w:val="56"/>
        <w:ind w:firstLine="420"/>
        <w:rPr>
          <w:rFonts w:hint="eastAsia" w:ascii="Times New Roman"/>
        </w:rPr>
      </w:pPr>
      <w:r>
        <w:rPr>
          <w:rFonts w:hint="eastAsia" w:ascii="Times New Roman"/>
        </w:rPr>
        <w:t>种子质量符合GB 4404.1的规定。包衣种子应符合GB/T 15671的规定。</w:t>
      </w:r>
    </w:p>
    <w:p w14:paraId="1DCC52B9">
      <w:pPr>
        <w:pStyle w:val="104"/>
        <w:spacing w:before="312" w:after="312"/>
        <w:rPr>
          <w:rFonts w:hint="eastAsia"/>
        </w:rPr>
      </w:pPr>
      <w:bookmarkStart w:id="65" w:name="_Toc181029563"/>
      <w:bookmarkStart w:id="66" w:name="_Toc181029592"/>
      <w:r>
        <w:rPr>
          <w:rFonts w:hint="eastAsia"/>
        </w:rPr>
        <w:t>播种</w:t>
      </w:r>
      <w:bookmarkEnd w:id="65"/>
      <w:bookmarkEnd w:id="66"/>
    </w:p>
    <w:p w14:paraId="0732FD73">
      <w:pPr>
        <w:pStyle w:val="105"/>
        <w:spacing w:before="156" w:after="156"/>
        <w:rPr>
          <w:rFonts w:hint="eastAsia"/>
        </w:rPr>
      </w:pPr>
      <w:r>
        <w:rPr>
          <w:rFonts w:hint="eastAsia"/>
        </w:rPr>
        <w:t>播期确定</w:t>
      </w:r>
    </w:p>
    <w:p w14:paraId="2D848329">
      <w:pPr>
        <w:pStyle w:val="56"/>
        <w:ind w:firstLine="420"/>
        <w:rPr>
          <w:rFonts w:hint="eastAsia" w:ascii="Times New Roman"/>
        </w:rPr>
      </w:pPr>
      <w:r>
        <w:rPr>
          <w:rFonts w:hint="eastAsia" w:ascii="Times New Roman"/>
        </w:rPr>
        <w:t>春季5 cm～10 cm地温稳定通过1</w:t>
      </w:r>
      <w:r>
        <w:rPr>
          <w:rFonts w:ascii="Times New Roman"/>
        </w:rPr>
        <w:t>0 ℃</w:t>
      </w:r>
      <w:r>
        <w:rPr>
          <w:rFonts w:hint="eastAsia" w:ascii="Times New Roman"/>
        </w:rPr>
        <w:t>为适宜播期，一般在4月20日至5月5日之间。</w:t>
      </w:r>
    </w:p>
    <w:p w14:paraId="44C93573">
      <w:pPr>
        <w:pStyle w:val="105"/>
        <w:spacing w:before="156" w:after="156"/>
        <w:rPr>
          <w:rFonts w:hint="eastAsia"/>
        </w:rPr>
      </w:pPr>
      <w:r>
        <w:rPr>
          <w:rFonts w:hint="eastAsia"/>
        </w:rPr>
        <w:t>播种方式</w:t>
      </w:r>
    </w:p>
    <w:p w14:paraId="364A9C4A">
      <w:pPr>
        <w:pStyle w:val="65"/>
        <w:spacing w:before="156" w:after="156"/>
        <w:rPr>
          <w:rFonts w:hint="eastAsia"/>
        </w:rPr>
      </w:pPr>
      <w:r>
        <w:rPr>
          <w:rFonts w:hint="eastAsia"/>
        </w:rPr>
        <w:t>露地机械化播种</w:t>
      </w:r>
    </w:p>
    <w:p w14:paraId="0EB7E9E9">
      <w:pPr>
        <w:pStyle w:val="56"/>
        <w:ind w:firstLine="420"/>
        <w:rPr>
          <w:rFonts w:hint="eastAsia" w:ascii="Times New Roman"/>
        </w:rPr>
      </w:pPr>
      <w:r>
        <w:rPr>
          <w:rFonts w:hint="eastAsia" w:ascii="Times New Roman"/>
        </w:rPr>
        <w:t>选用机械化精量单粒播种机，行距50 cm或60 cm，株距依留苗密度而定。播种条件应符合JB/T 10293的规定。</w:t>
      </w:r>
    </w:p>
    <w:p w14:paraId="6A377860">
      <w:pPr>
        <w:pStyle w:val="65"/>
        <w:spacing w:before="156" w:after="156"/>
        <w:rPr>
          <w:rFonts w:hint="eastAsia"/>
        </w:rPr>
      </w:pPr>
      <w:r>
        <w:rPr>
          <w:rFonts w:hint="eastAsia"/>
        </w:rPr>
        <w:t>地膜覆盖播种</w:t>
      </w:r>
    </w:p>
    <w:p w14:paraId="5E5E5FC2">
      <w:pPr>
        <w:pStyle w:val="56"/>
        <w:ind w:firstLine="420"/>
        <w:rPr>
          <w:rFonts w:hint="eastAsia" w:ascii="Times New Roman"/>
        </w:rPr>
      </w:pPr>
      <w:r>
        <w:rPr>
          <w:rFonts w:hint="eastAsia" w:ascii="Times New Roman"/>
        </w:rPr>
        <w:t>采用覆膜播种机播种，选用宽度800 mm地膜，宽窄行种植，宽行60 cm，窄行40 cm，株距依密度而定。地膜选用应符合GB 13735的规定。铺膜播种应符合JB/T 7732的规定。</w:t>
      </w:r>
    </w:p>
    <w:p w14:paraId="51A911A7">
      <w:pPr>
        <w:pStyle w:val="105"/>
        <w:spacing w:before="156" w:after="156"/>
        <w:rPr>
          <w:rFonts w:hint="eastAsia"/>
        </w:rPr>
      </w:pPr>
      <w:r>
        <w:rPr>
          <w:rFonts w:hint="eastAsia"/>
        </w:rPr>
        <w:t>播种量</w:t>
      </w:r>
    </w:p>
    <w:p w14:paraId="7E256F45">
      <w:pPr>
        <w:pStyle w:val="56"/>
        <w:ind w:firstLine="420"/>
        <w:rPr>
          <w:rFonts w:hint="eastAsia" w:ascii="Times New Roman"/>
        </w:rPr>
      </w:pPr>
      <w:r>
        <w:rPr>
          <w:rFonts w:hint="eastAsia" w:ascii="Times New Roman"/>
        </w:rPr>
        <w:t>精量单粒播种每666.7 m</w:t>
      </w:r>
      <w:r>
        <w:rPr>
          <w:rFonts w:hint="eastAsia" w:ascii="Times New Roman"/>
          <w:vertAlign w:val="superscript"/>
        </w:rPr>
        <w:t>2</w:t>
      </w:r>
      <w:r>
        <w:rPr>
          <w:rFonts w:hint="eastAsia" w:ascii="Times New Roman"/>
        </w:rPr>
        <w:t>播量4 400 粒～4 900 粒。</w:t>
      </w:r>
    </w:p>
    <w:p w14:paraId="30E938B9">
      <w:pPr>
        <w:pStyle w:val="105"/>
        <w:spacing w:before="156" w:after="156"/>
        <w:rPr>
          <w:rFonts w:hint="eastAsia"/>
        </w:rPr>
      </w:pPr>
      <w:r>
        <w:rPr>
          <w:rFonts w:hint="eastAsia"/>
        </w:rPr>
        <w:t>播种深度</w:t>
      </w:r>
    </w:p>
    <w:p w14:paraId="07F49EF5">
      <w:pPr>
        <w:pStyle w:val="56"/>
        <w:ind w:firstLine="420"/>
        <w:rPr>
          <w:rFonts w:hint="eastAsia" w:ascii="Times New Roman"/>
        </w:rPr>
      </w:pPr>
      <w:r>
        <w:rPr>
          <w:rFonts w:hint="eastAsia" w:ascii="Times New Roman"/>
        </w:rPr>
        <w:t>露地栽培5 cm～6 cm，地膜覆盖4 cm～5 cm。</w:t>
      </w:r>
    </w:p>
    <w:p w14:paraId="51BDC3FE">
      <w:pPr>
        <w:pStyle w:val="104"/>
        <w:spacing w:before="312" w:after="312"/>
        <w:rPr>
          <w:rFonts w:hint="eastAsia"/>
        </w:rPr>
      </w:pPr>
      <w:bookmarkStart w:id="67" w:name="_Toc181029564"/>
      <w:bookmarkStart w:id="68" w:name="_Toc181029593"/>
      <w:r>
        <w:rPr>
          <w:rFonts w:hint="eastAsia"/>
        </w:rPr>
        <w:t>田间管理</w:t>
      </w:r>
      <w:bookmarkEnd w:id="67"/>
      <w:bookmarkEnd w:id="68"/>
    </w:p>
    <w:p w14:paraId="77E4EC78">
      <w:pPr>
        <w:pStyle w:val="105"/>
        <w:spacing w:before="156" w:after="156"/>
        <w:rPr>
          <w:rFonts w:hint="eastAsia"/>
        </w:rPr>
      </w:pPr>
      <w:r>
        <w:rPr>
          <w:rFonts w:hint="eastAsia"/>
        </w:rPr>
        <w:t>查苗补苗</w:t>
      </w:r>
    </w:p>
    <w:p w14:paraId="2F7DC810">
      <w:pPr>
        <w:pStyle w:val="56"/>
        <w:ind w:firstLine="420"/>
        <w:rPr>
          <w:rFonts w:hint="eastAsia" w:ascii="Times New Roman"/>
        </w:rPr>
      </w:pPr>
      <w:r>
        <w:rPr>
          <w:rFonts w:hint="eastAsia" w:ascii="Times New Roman"/>
        </w:rPr>
        <w:t>及时检查出苗情况，缺苗严重时，及时补种。</w:t>
      </w:r>
    </w:p>
    <w:p w14:paraId="57EC881B">
      <w:pPr>
        <w:pStyle w:val="105"/>
        <w:spacing w:before="156" w:after="156"/>
        <w:rPr>
          <w:rFonts w:hint="eastAsia"/>
        </w:rPr>
      </w:pPr>
      <w:r>
        <w:rPr>
          <w:rFonts w:hint="eastAsia"/>
        </w:rPr>
        <w:t>追肥灌水</w:t>
      </w:r>
    </w:p>
    <w:p w14:paraId="75A96926">
      <w:pPr>
        <w:pStyle w:val="56"/>
        <w:ind w:firstLine="420"/>
        <w:rPr>
          <w:rFonts w:hint="eastAsia" w:ascii="Times New Roman"/>
        </w:rPr>
      </w:pPr>
      <w:r>
        <w:rPr>
          <w:rFonts w:hint="eastAsia" w:ascii="Times New Roman"/>
        </w:rPr>
        <w:t>水浇地玉米在拔节期和大喇叭口期各灌水一次，灌浆期降水不足时及时灌水。在大喇叭口期每666.7 m</w:t>
      </w:r>
      <w:r>
        <w:rPr>
          <w:rFonts w:hint="eastAsia" w:ascii="Times New Roman"/>
          <w:vertAlign w:val="superscript"/>
        </w:rPr>
        <w:t>2</w:t>
      </w:r>
      <w:r>
        <w:rPr>
          <w:rFonts w:hint="eastAsia" w:ascii="Times New Roman"/>
        </w:rPr>
        <w:t>追施尿素20 kg～25 kg。旱地玉米在大喇叭口期追肥。</w:t>
      </w:r>
    </w:p>
    <w:p w14:paraId="2FDCD574">
      <w:pPr>
        <w:pStyle w:val="105"/>
        <w:spacing w:before="156" w:after="156"/>
        <w:rPr>
          <w:rFonts w:hint="eastAsia"/>
        </w:rPr>
      </w:pPr>
      <w:r>
        <w:rPr>
          <w:rFonts w:hint="eastAsia"/>
        </w:rPr>
        <w:t>中耕</w:t>
      </w:r>
    </w:p>
    <w:p w14:paraId="2631C005">
      <w:pPr>
        <w:pStyle w:val="56"/>
        <w:ind w:firstLine="420"/>
        <w:rPr>
          <w:rFonts w:hint="eastAsia" w:ascii="Times New Roman"/>
        </w:rPr>
      </w:pPr>
      <w:r>
        <w:rPr>
          <w:rFonts w:hint="eastAsia" w:ascii="Times New Roman"/>
        </w:rPr>
        <w:t>拔节期和大喇叭口期各进行一次中耕。</w:t>
      </w:r>
    </w:p>
    <w:p w14:paraId="1BC1E40D">
      <w:pPr>
        <w:pStyle w:val="104"/>
        <w:spacing w:before="312" w:after="312"/>
        <w:rPr>
          <w:rFonts w:hint="eastAsia"/>
        </w:rPr>
      </w:pPr>
      <w:bookmarkStart w:id="69" w:name="_Toc181029565"/>
      <w:bookmarkStart w:id="70" w:name="_Toc181029594"/>
      <w:r>
        <w:rPr>
          <w:rFonts w:hint="eastAsia"/>
        </w:rPr>
        <w:t>主要病虫草害防治</w:t>
      </w:r>
      <w:bookmarkEnd w:id="69"/>
      <w:bookmarkEnd w:id="70"/>
    </w:p>
    <w:p w14:paraId="51276890">
      <w:pPr>
        <w:pStyle w:val="105"/>
        <w:spacing w:before="156" w:after="156"/>
        <w:rPr>
          <w:rFonts w:hint="eastAsia"/>
        </w:rPr>
      </w:pPr>
      <w:r>
        <w:rPr>
          <w:rFonts w:hint="eastAsia"/>
        </w:rPr>
        <w:t>防控原则</w:t>
      </w:r>
    </w:p>
    <w:p w14:paraId="5168DD0A">
      <w:pPr>
        <w:pStyle w:val="56"/>
        <w:ind w:firstLine="420"/>
        <w:rPr>
          <w:rFonts w:hint="eastAsia" w:ascii="Times New Roman"/>
        </w:rPr>
      </w:pPr>
      <w:r>
        <w:rPr>
          <w:rFonts w:hint="eastAsia" w:ascii="Times New Roman"/>
        </w:rPr>
        <w:t>贯彻“预防为主，综合防治”的植保方针，以农业防治为基础，通过生物防治以及合理用药等措施的综合应用，有效控制病虫草危害。农药使用严格执行GB/T 8321（所有部分）的规定。</w:t>
      </w:r>
    </w:p>
    <w:p w14:paraId="18C66D1D">
      <w:pPr>
        <w:pStyle w:val="105"/>
        <w:spacing w:before="156" w:after="156"/>
        <w:rPr>
          <w:rFonts w:hint="eastAsia"/>
        </w:rPr>
      </w:pPr>
      <w:r>
        <w:rPr>
          <w:rFonts w:hint="eastAsia"/>
        </w:rPr>
        <w:t>大斑病</w:t>
      </w:r>
    </w:p>
    <w:p w14:paraId="72870763">
      <w:pPr>
        <w:pStyle w:val="56"/>
        <w:ind w:firstLine="420"/>
        <w:rPr>
          <w:rFonts w:hint="eastAsia" w:ascii="Times New Roman"/>
        </w:rPr>
      </w:pPr>
      <w:r>
        <w:rPr>
          <w:rFonts w:hint="eastAsia" w:ascii="Times New Roman"/>
        </w:rPr>
        <w:t>选择抗（耐）病品种，合理密植，平衡施肥；发病初期选用枯草芽孢杆菌等生物制剂喷施防治；或选用吡唑醚菌酯等化学药剂喷施防治。</w:t>
      </w:r>
    </w:p>
    <w:p w14:paraId="159A7E7A">
      <w:pPr>
        <w:pStyle w:val="105"/>
        <w:spacing w:before="156" w:after="156"/>
        <w:rPr>
          <w:rFonts w:hint="eastAsia"/>
        </w:rPr>
      </w:pPr>
      <w:r>
        <w:rPr>
          <w:rFonts w:hint="eastAsia"/>
        </w:rPr>
        <w:t>玉米螟</w:t>
      </w:r>
    </w:p>
    <w:p w14:paraId="13C996EB">
      <w:pPr>
        <w:pStyle w:val="56"/>
        <w:ind w:firstLine="420"/>
        <w:rPr>
          <w:rFonts w:hint="eastAsia" w:ascii="Times New Roman"/>
        </w:rPr>
      </w:pPr>
      <w:r>
        <w:rPr>
          <w:rFonts w:hint="eastAsia" w:ascii="Times New Roman"/>
        </w:rPr>
        <w:t>4 月初至8 月底，田间安装杀虫灯，约1 hm</w:t>
      </w:r>
      <w:r>
        <w:rPr>
          <w:rFonts w:hint="eastAsia" w:ascii="Times New Roman"/>
          <w:vertAlign w:val="superscript"/>
        </w:rPr>
        <w:t>2</w:t>
      </w:r>
      <w:r>
        <w:rPr>
          <w:rFonts w:hint="eastAsia" w:ascii="Times New Roman"/>
        </w:rPr>
        <w:t>安装一盏杀虫灯，吊挂高度1.8 m～2 m，诱杀玉米螟成虫；玉米螟产卵初期至盛期，无人机田间释放赤眼蜂防治玉米螟，每666.7 m</w:t>
      </w:r>
      <w:r>
        <w:rPr>
          <w:rFonts w:hint="eastAsia" w:ascii="Times New Roman"/>
          <w:vertAlign w:val="superscript"/>
        </w:rPr>
        <w:t>2</w:t>
      </w:r>
      <w:r>
        <w:rPr>
          <w:rFonts w:hint="eastAsia" w:ascii="Times New Roman"/>
        </w:rPr>
        <w:t>放蜂1.5 万头～2 万头，分2 次间隔7 d释放；玉米大喇叭口期，选用苏云金杆菌、氯虫苯甲酰胺等生物、化学制剂喷施防治。</w:t>
      </w:r>
    </w:p>
    <w:p w14:paraId="420BEDDD">
      <w:pPr>
        <w:pStyle w:val="105"/>
        <w:spacing w:before="156" w:after="156"/>
        <w:rPr>
          <w:rFonts w:hint="eastAsia"/>
        </w:rPr>
      </w:pPr>
      <w:r>
        <w:rPr>
          <w:rFonts w:hint="eastAsia"/>
        </w:rPr>
        <w:t>杂草</w:t>
      </w:r>
    </w:p>
    <w:p w14:paraId="39C56EAF">
      <w:pPr>
        <w:pStyle w:val="56"/>
        <w:ind w:firstLine="420"/>
        <w:rPr>
          <w:rFonts w:hint="eastAsia" w:ascii="Times New Roman"/>
        </w:rPr>
      </w:pPr>
      <w:r>
        <w:rPr>
          <w:rFonts w:hint="eastAsia" w:ascii="Times New Roman"/>
        </w:rPr>
        <w:t>玉米播种后出苗前，播种带喷洒除草剂进行封闭除草；未进行封闭除草或封闭除草后杂草仍较多时，玉米苗后3 叶～5 叶期喷施药剂除草。除草剂喷施应符合NY/T 1977的规定。</w:t>
      </w:r>
    </w:p>
    <w:p w14:paraId="70AEA449">
      <w:pPr>
        <w:pStyle w:val="104"/>
        <w:spacing w:before="312" w:after="312"/>
        <w:rPr>
          <w:rFonts w:hint="eastAsia"/>
        </w:rPr>
      </w:pPr>
      <w:bookmarkStart w:id="71" w:name="_Toc181029566"/>
      <w:bookmarkStart w:id="72" w:name="_Toc181029595"/>
      <w:r>
        <w:rPr>
          <w:rFonts w:hint="eastAsia"/>
        </w:rPr>
        <w:t>收获</w:t>
      </w:r>
      <w:bookmarkEnd w:id="71"/>
      <w:bookmarkEnd w:id="72"/>
    </w:p>
    <w:p w14:paraId="2AEEC6F9">
      <w:pPr>
        <w:pStyle w:val="56"/>
        <w:ind w:firstLine="420"/>
        <w:rPr>
          <w:rFonts w:hint="eastAsia"/>
        </w:rPr>
      </w:pPr>
      <w:r>
        <w:rPr>
          <w:rFonts w:hint="eastAsia"/>
        </w:rPr>
        <w:t>玉米籽粒乳线消失，尖冠处黑色层出现时为成熟标志；当植株叶色变黄，苞叶干枯且松开可开始收获，一般在成熟后1 周～2 周收获为宜。</w:t>
      </w:r>
    </w:p>
    <w:p w14:paraId="1E1C4C24">
      <w:pPr>
        <w:pStyle w:val="104"/>
        <w:spacing w:before="312" w:after="312"/>
        <w:rPr>
          <w:rFonts w:hint="eastAsia"/>
        </w:rPr>
      </w:pPr>
      <w:bookmarkStart w:id="73" w:name="_Toc181029596"/>
      <w:bookmarkStart w:id="74" w:name="_Toc181029567"/>
      <w:r>
        <w:rPr>
          <w:rFonts w:hint="eastAsia"/>
        </w:rPr>
        <w:t>生产档案</w:t>
      </w:r>
      <w:bookmarkEnd w:id="73"/>
      <w:bookmarkEnd w:id="74"/>
    </w:p>
    <w:p w14:paraId="4E263FBB">
      <w:pPr>
        <w:pStyle w:val="56"/>
        <w:ind w:firstLine="420"/>
        <w:rPr>
          <w:rFonts w:ascii="Times New Roman"/>
        </w:rPr>
      </w:pPr>
      <w:r>
        <w:rPr>
          <w:rFonts w:hint="eastAsia"/>
        </w:rPr>
        <w:t>详细记录选地与整地、耕作、品种、播种、田间管理及收获等环节采取的主要措施，建立生产档案，并保存2 年～3 年。</w:t>
      </w:r>
    </w:p>
    <w:p w14:paraId="601FD132">
      <w:pPr>
        <w:pStyle w:val="56"/>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p>
    <w:bookmarkEnd w:id="27"/>
    <w:p w14:paraId="0D17CFFA">
      <w:pPr>
        <w:pStyle w:val="198"/>
        <w:rPr>
          <w:vanish w:val="0"/>
        </w:rPr>
      </w:pPr>
      <w:bookmarkStart w:id="75" w:name="BookMark5"/>
    </w:p>
    <w:p w14:paraId="0CE68C4E">
      <w:pPr>
        <w:pStyle w:val="199"/>
        <w:rPr>
          <w:vanish w:val="0"/>
        </w:rPr>
      </w:pPr>
    </w:p>
    <w:p w14:paraId="5037C6E5">
      <w:pPr>
        <w:pStyle w:val="76"/>
        <w:spacing w:after="156"/>
        <w:rPr>
          <w:rFonts w:hint="eastAsia"/>
        </w:rPr>
      </w:pPr>
      <w:r>
        <w:br w:type="textWrapping"/>
      </w:r>
      <w:bookmarkStart w:id="76" w:name="_Toc181029597"/>
      <w:bookmarkStart w:id="77" w:name="_Toc181029568"/>
      <w:r>
        <w:rPr>
          <w:rFonts w:hint="eastAsia"/>
        </w:rPr>
        <w:t>（资料性）</w:t>
      </w:r>
      <w:r>
        <w:br w:type="textWrapping"/>
      </w:r>
      <w:r>
        <w:rPr>
          <w:rFonts w:hint="eastAsia"/>
        </w:rPr>
        <w:t>生产档案</w:t>
      </w:r>
      <w:bookmarkEnd w:id="76"/>
      <w:bookmarkEnd w:id="77"/>
    </w:p>
    <w:p w14:paraId="538C6375">
      <w:pPr>
        <w:pStyle w:val="56"/>
        <w:ind w:firstLine="420"/>
        <w:rPr>
          <w:rFonts w:ascii="Times New Roman"/>
        </w:rPr>
      </w:pPr>
      <w:r>
        <w:rPr>
          <w:rFonts w:hint="eastAsia"/>
        </w:rPr>
        <w:t>详细记录选地与整地、耕作、品种、播种、田间管理、病虫草害防治及收获技术环节采</w:t>
      </w:r>
      <w:r>
        <w:rPr>
          <w:rFonts w:ascii="Times New Roman"/>
        </w:rPr>
        <w:t>取的具体措施，见表A.1。</w:t>
      </w:r>
    </w:p>
    <w:p w14:paraId="6D3206F4">
      <w:pPr>
        <w:pStyle w:val="77"/>
        <w:spacing w:before="156" w:after="156"/>
      </w:pPr>
      <w:r>
        <w:t>生产档案</w:t>
      </w:r>
    </w:p>
    <w:tbl>
      <w:tblPr>
        <w:tblStyle w:val="23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0"/>
        <w:gridCol w:w="2132"/>
      </w:tblGrid>
      <w:tr w14:paraId="0B91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22D831C9">
            <w:pPr>
              <w:jc w:val="center"/>
              <w:rPr>
                <w:rFonts w:ascii="宋体" w:hAnsi="宋体" w:eastAsia="宋体"/>
              </w:rPr>
            </w:pPr>
            <w:r>
              <w:rPr>
                <w:rFonts w:hint="eastAsia" w:ascii="宋体" w:hAnsi="宋体" w:eastAsia="宋体"/>
              </w:rPr>
              <w:t>产地环境</w:t>
            </w:r>
          </w:p>
        </w:tc>
        <w:tc>
          <w:tcPr>
            <w:tcW w:w="6392" w:type="dxa"/>
            <w:gridSpan w:val="3"/>
            <w:tcBorders>
              <w:top w:val="single" w:color="auto" w:sz="4" w:space="0"/>
              <w:left w:val="nil"/>
              <w:bottom w:val="single" w:color="auto" w:sz="4" w:space="0"/>
              <w:right w:val="single" w:color="auto" w:sz="4" w:space="0"/>
            </w:tcBorders>
          </w:tcPr>
          <w:p w14:paraId="724B40AF">
            <w:pPr>
              <w:jc w:val="center"/>
              <w:rPr>
                <w:rFonts w:ascii="宋体" w:hAnsi="宋体" w:eastAsia="宋体"/>
              </w:rPr>
            </w:pPr>
          </w:p>
        </w:tc>
      </w:tr>
      <w:tr w14:paraId="614F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45D1BFE8">
            <w:pPr>
              <w:jc w:val="center"/>
              <w:rPr>
                <w:rFonts w:ascii="宋体" w:hAnsi="宋体" w:eastAsia="宋体"/>
              </w:rPr>
            </w:pPr>
            <w:r>
              <w:rPr>
                <w:rFonts w:hint="eastAsia" w:ascii="宋体" w:hAnsi="宋体" w:eastAsia="宋体"/>
              </w:rPr>
              <w:t>秸秆还田时间</w:t>
            </w:r>
          </w:p>
        </w:tc>
        <w:tc>
          <w:tcPr>
            <w:tcW w:w="6392" w:type="dxa"/>
            <w:gridSpan w:val="3"/>
            <w:tcBorders>
              <w:top w:val="single" w:color="auto" w:sz="4" w:space="0"/>
              <w:left w:val="nil"/>
              <w:bottom w:val="single" w:color="auto" w:sz="4" w:space="0"/>
              <w:right w:val="single" w:color="auto" w:sz="4" w:space="0"/>
            </w:tcBorders>
          </w:tcPr>
          <w:p w14:paraId="75A47F55">
            <w:pPr>
              <w:jc w:val="center"/>
              <w:rPr>
                <w:rFonts w:ascii="宋体" w:hAnsi="宋体" w:eastAsia="宋体"/>
              </w:rPr>
            </w:pPr>
          </w:p>
        </w:tc>
      </w:tr>
      <w:tr w14:paraId="7F9FC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4E11274F">
            <w:pPr>
              <w:jc w:val="center"/>
              <w:rPr>
                <w:rFonts w:ascii="宋体" w:hAnsi="宋体" w:eastAsia="宋体"/>
              </w:rPr>
            </w:pPr>
            <w:r>
              <w:rPr>
                <w:rFonts w:hint="eastAsia" w:ascii="宋体" w:hAnsi="宋体" w:eastAsia="宋体"/>
              </w:rPr>
              <w:t>深耕深度及时间</w:t>
            </w:r>
          </w:p>
        </w:tc>
        <w:tc>
          <w:tcPr>
            <w:tcW w:w="6392" w:type="dxa"/>
            <w:gridSpan w:val="3"/>
            <w:tcBorders>
              <w:top w:val="single" w:color="auto" w:sz="4" w:space="0"/>
              <w:left w:val="nil"/>
              <w:bottom w:val="single" w:color="auto" w:sz="4" w:space="0"/>
              <w:right w:val="single" w:color="auto" w:sz="4" w:space="0"/>
            </w:tcBorders>
          </w:tcPr>
          <w:p w14:paraId="2C8F08E9">
            <w:pPr>
              <w:jc w:val="center"/>
              <w:rPr>
                <w:rFonts w:ascii="宋体" w:hAnsi="宋体" w:eastAsia="宋体"/>
              </w:rPr>
            </w:pPr>
          </w:p>
        </w:tc>
      </w:tr>
      <w:tr w14:paraId="2719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371D5250">
            <w:pPr>
              <w:jc w:val="center"/>
              <w:rPr>
                <w:rFonts w:ascii="宋体" w:hAnsi="宋体" w:eastAsia="宋体"/>
              </w:rPr>
            </w:pPr>
            <w:r>
              <w:rPr>
                <w:rFonts w:hint="eastAsia" w:ascii="宋体" w:hAnsi="宋体" w:eastAsia="宋体"/>
              </w:rPr>
              <w:t>春季整地措施、时间</w:t>
            </w:r>
          </w:p>
        </w:tc>
        <w:tc>
          <w:tcPr>
            <w:tcW w:w="6392" w:type="dxa"/>
            <w:gridSpan w:val="3"/>
            <w:tcBorders>
              <w:top w:val="single" w:color="auto" w:sz="4" w:space="0"/>
              <w:left w:val="nil"/>
              <w:bottom w:val="single" w:color="auto" w:sz="4" w:space="0"/>
              <w:right w:val="single" w:color="auto" w:sz="4" w:space="0"/>
            </w:tcBorders>
          </w:tcPr>
          <w:p w14:paraId="6AA4B7A6">
            <w:pPr>
              <w:jc w:val="center"/>
              <w:rPr>
                <w:rFonts w:ascii="宋体" w:hAnsi="宋体" w:eastAsia="宋体"/>
              </w:rPr>
            </w:pPr>
          </w:p>
        </w:tc>
      </w:tr>
      <w:tr w14:paraId="7659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6DF41113">
            <w:pPr>
              <w:jc w:val="center"/>
              <w:rPr>
                <w:rFonts w:ascii="宋体" w:hAnsi="宋体" w:eastAsia="宋体"/>
              </w:rPr>
            </w:pPr>
            <w:r>
              <w:rPr>
                <w:rFonts w:hint="eastAsia" w:ascii="宋体" w:hAnsi="宋体" w:eastAsia="宋体"/>
              </w:rPr>
              <w:t>地膜信息、铺设时间</w:t>
            </w:r>
          </w:p>
        </w:tc>
        <w:tc>
          <w:tcPr>
            <w:tcW w:w="6392" w:type="dxa"/>
            <w:gridSpan w:val="3"/>
            <w:tcBorders>
              <w:top w:val="single" w:color="auto" w:sz="4" w:space="0"/>
              <w:left w:val="nil"/>
              <w:bottom w:val="single" w:color="auto" w:sz="4" w:space="0"/>
              <w:right w:val="single" w:color="auto" w:sz="4" w:space="0"/>
            </w:tcBorders>
          </w:tcPr>
          <w:p w14:paraId="235B5E55">
            <w:pPr>
              <w:jc w:val="center"/>
              <w:rPr>
                <w:rFonts w:ascii="宋体" w:hAnsi="宋体" w:eastAsia="宋体"/>
              </w:rPr>
            </w:pPr>
          </w:p>
        </w:tc>
      </w:tr>
      <w:tr w14:paraId="559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52B656AE">
            <w:pPr>
              <w:jc w:val="center"/>
              <w:rPr>
                <w:rFonts w:ascii="宋体" w:hAnsi="宋体" w:eastAsia="宋体"/>
              </w:rPr>
            </w:pPr>
            <w:r>
              <w:rPr>
                <w:rFonts w:hint="eastAsia" w:ascii="宋体" w:hAnsi="宋体" w:eastAsia="宋体"/>
              </w:rPr>
              <w:t>种子信息</w:t>
            </w:r>
          </w:p>
        </w:tc>
        <w:tc>
          <w:tcPr>
            <w:tcW w:w="6392" w:type="dxa"/>
            <w:gridSpan w:val="3"/>
            <w:tcBorders>
              <w:top w:val="single" w:color="auto" w:sz="4" w:space="0"/>
              <w:left w:val="nil"/>
              <w:bottom w:val="single" w:color="auto" w:sz="4" w:space="0"/>
              <w:right w:val="single" w:color="auto" w:sz="4" w:space="0"/>
            </w:tcBorders>
          </w:tcPr>
          <w:p w14:paraId="67311F63">
            <w:pPr>
              <w:jc w:val="center"/>
              <w:rPr>
                <w:rFonts w:ascii="宋体" w:hAnsi="宋体" w:eastAsia="宋体"/>
              </w:rPr>
            </w:pPr>
          </w:p>
        </w:tc>
      </w:tr>
      <w:tr w14:paraId="3432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323B7799">
            <w:pPr>
              <w:jc w:val="center"/>
              <w:rPr>
                <w:rFonts w:ascii="宋体" w:hAnsi="宋体" w:eastAsia="宋体"/>
              </w:rPr>
            </w:pPr>
            <w:r>
              <w:rPr>
                <w:rFonts w:hint="eastAsia" w:ascii="宋体" w:hAnsi="宋体" w:eastAsia="宋体"/>
              </w:rPr>
              <w:t>播种量、时间</w:t>
            </w:r>
          </w:p>
        </w:tc>
        <w:tc>
          <w:tcPr>
            <w:tcW w:w="6392" w:type="dxa"/>
            <w:gridSpan w:val="3"/>
            <w:tcBorders>
              <w:top w:val="single" w:color="auto" w:sz="4" w:space="0"/>
              <w:left w:val="nil"/>
              <w:bottom w:val="single" w:color="auto" w:sz="4" w:space="0"/>
              <w:right w:val="single" w:color="auto" w:sz="4" w:space="0"/>
            </w:tcBorders>
          </w:tcPr>
          <w:p w14:paraId="5554340C">
            <w:pPr>
              <w:jc w:val="center"/>
              <w:rPr>
                <w:rFonts w:ascii="宋体" w:hAnsi="宋体" w:eastAsia="宋体"/>
              </w:rPr>
            </w:pPr>
          </w:p>
        </w:tc>
      </w:tr>
      <w:tr w14:paraId="3EC2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0026FEB7">
            <w:pPr>
              <w:jc w:val="center"/>
              <w:rPr>
                <w:rFonts w:ascii="宋体" w:hAnsi="宋体" w:eastAsia="宋体"/>
              </w:rPr>
            </w:pPr>
            <w:r>
              <w:rPr>
                <w:rFonts w:hint="eastAsia" w:ascii="宋体" w:hAnsi="宋体" w:eastAsia="宋体"/>
              </w:rPr>
              <w:t>出苗情况</w:t>
            </w:r>
          </w:p>
        </w:tc>
        <w:tc>
          <w:tcPr>
            <w:tcW w:w="6392" w:type="dxa"/>
            <w:gridSpan w:val="3"/>
            <w:tcBorders>
              <w:top w:val="single" w:color="auto" w:sz="4" w:space="0"/>
              <w:left w:val="nil"/>
              <w:bottom w:val="single" w:color="auto" w:sz="4" w:space="0"/>
              <w:right w:val="single" w:color="auto" w:sz="4" w:space="0"/>
            </w:tcBorders>
          </w:tcPr>
          <w:p w14:paraId="5FDD6E81">
            <w:pPr>
              <w:jc w:val="center"/>
              <w:rPr>
                <w:rFonts w:ascii="宋体" w:hAnsi="宋体" w:eastAsia="宋体"/>
              </w:rPr>
            </w:pPr>
          </w:p>
        </w:tc>
      </w:tr>
      <w:tr w14:paraId="159D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75748E1B">
            <w:pPr>
              <w:jc w:val="center"/>
              <w:rPr>
                <w:rFonts w:ascii="宋体" w:hAnsi="宋体" w:eastAsia="宋体"/>
              </w:rPr>
            </w:pPr>
            <w:r>
              <w:rPr>
                <w:rFonts w:hint="eastAsia" w:ascii="宋体" w:hAnsi="宋体" w:eastAsia="宋体"/>
              </w:rPr>
              <w:t>收获情况</w:t>
            </w:r>
          </w:p>
        </w:tc>
        <w:tc>
          <w:tcPr>
            <w:tcW w:w="6392" w:type="dxa"/>
            <w:gridSpan w:val="3"/>
            <w:tcBorders>
              <w:top w:val="single" w:color="auto" w:sz="4" w:space="0"/>
              <w:left w:val="nil"/>
              <w:bottom w:val="single" w:color="auto" w:sz="4" w:space="0"/>
              <w:right w:val="single" w:color="auto" w:sz="4" w:space="0"/>
            </w:tcBorders>
          </w:tcPr>
          <w:p w14:paraId="726B1146">
            <w:pPr>
              <w:jc w:val="center"/>
              <w:rPr>
                <w:rFonts w:ascii="宋体" w:hAnsi="宋体" w:eastAsia="宋体"/>
              </w:rPr>
            </w:pPr>
          </w:p>
        </w:tc>
      </w:tr>
      <w:tr w14:paraId="2079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66D81344">
            <w:pPr>
              <w:jc w:val="center"/>
              <w:rPr>
                <w:rFonts w:ascii="宋体" w:hAnsi="宋体" w:eastAsia="宋体"/>
              </w:rPr>
            </w:pPr>
            <w:r>
              <w:rPr>
                <w:rFonts w:hint="eastAsia" w:ascii="宋体" w:hAnsi="宋体" w:eastAsia="宋体"/>
              </w:rPr>
              <w:t>其他</w:t>
            </w:r>
          </w:p>
        </w:tc>
        <w:tc>
          <w:tcPr>
            <w:tcW w:w="6392" w:type="dxa"/>
            <w:gridSpan w:val="3"/>
            <w:tcBorders>
              <w:top w:val="single" w:color="auto" w:sz="4" w:space="0"/>
              <w:left w:val="nil"/>
              <w:bottom w:val="single" w:color="auto" w:sz="4" w:space="0"/>
              <w:right w:val="single" w:color="auto" w:sz="4" w:space="0"/>
            </w:tcBorders>
          </w:tcPr>
          <w:p w14:paraId="52B2416C">
            <w:pPr>
              <w:jc w:val="center"/>
              <w:rPr>
                <w:rFonts w:ascii="宋体" w:hAnsi="宋体" w:eastAsia="宋体"/>
              </w:rPr>
            </w:pPr>
          </w:p>
        </w:tc>
      </w:tr>
      <w:tr w14:paraId="103C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4"/>
            <w:tcBorders>
              <w:top w:val="single" w:color="auto" w:sz="4" w:space="0"/>
              <w:left w:val="single" w:color="auto" w:sz="4" w:space="0"/>
              <w:bottom w:val="single" w:color="auto" w:sz="4" w:space="0"/>
              <w:right w:val="single" w:color="auto" w:sz="4" w:space="0"/>
            </w:tcBorders>
          </w:tcPr>
          <w:p w14:paraId="4C86FB81">
            <w:pPr>
              <w:jc w:val="center"/>
              <w:rPr>
                <w:rFonts w:ascii="宋体" w:hAnsi="宋体" w:eastAsia="宋体"/>
              </w:rPr>
            </w:pPr>
            <w:r>
              <w:rPr>
                <w:rFonts w:hint="eastAsia" w:ascii="宋体" w:hAnsi="宋体" w:eastAsia="宋体"/>
              </w:rPr>
              <w:t>肥料使用情况</w:t>
            </w:r>
          </w:p>
        </w:tc>
      </w:tr>
      <w:tr w14:paraId="7D960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58534C17">
            <w:pPr>
              <w:jc w:val="center"/>
              <w:rPr>
                <w:rFonts w:ascii="宋体" w:hAnsi="宋体" w:eastAsia="宋体"/>
              </w:rPr>
            </w:pPr>
            <w:r>
              <w:rPr>
                <w:rFonts w:hint="eastAsia" w:ascii="宋体" w:hAnsi="宋体" w:eastAsia="宋体"/>
              </w:rPr>
              <w:t>肥料名称</w:t>
            </w:r>
          </w:p>
        </w:tc>
        <w:tc>
          <w:tcPr>
            <w:tcW w:w="2130" w:type="dxa"/>
            <w:tcBorders>
              <w:top w:val="single" w:color="auto" w:sz="4" w:space="0"/>
              <w:left w:val="nil"/>
              <w:bottom w:val="single" w:color="auto" w:sz="4" w:space="0"/>
              <w:right w:val="single" w:color="auto" w:sz="4" w:space="0"/>
            </w:tcBorders>
          </w:tcPr>
          <w:p w14:paraId="529BED9B">
            <w:pPr>
              <w:jc w:val="center"/>
              <w:rPr>
                <w:rFonts w:ascii="宋体" w:hAnsi="宋体" w:eastAsia="宋体"/>
              </w:rPr>
            </w:pPr>
            <w:r>
              <w:rPr>
                <w:rFonts w:hint="eastAsia" w:ascii="宋体" w:hAnsi="宋体" w:eastAsia="宋体"/>
              </w:rPr>
              <w:t>养分含量</w:t>
            </w:r>
          </w:p>
        </w:tc>
        <w:tc>
          <w:tcPr>
            <w:tcW w:w="2130" w:type="dxa"/>
            <w:tcBorders>
              <w:top w:val="single" w:color="auto" w:sz="4" w:space="0"/>
              <w:left w:val="nil"/>
              <w:bottom w:val="single" w:color="auto" w:sz="4" w:space="0"/>
              <w:right w:val="single" w:color="auto" w:sz="4" w:space="0"/>
            </w:tcBorders>
          </w:tcPr>
          <w:p w14:paraId="29A31C66">
            <w:pPr>
              <w:jc w:val="center"/>
              <w:rPr>
                <w:rFonts w:ascii="宋体" w:hAnsi="宋体" w:eastAsia="宋体"/>
              </w:rPr>
            </w:pPr>
            <w:r>
              <w:rPr>
                <w:rFonts w:hint="eastAsia" w:ascii="宋体" w:hAnsi="宋体" w:eastAsia="宋体"/>
              </w:rPr>
              <w:t>施用量</w:t>
            </w:r>
          </w:p>
        </w:tc>
        <w:tc>
          <w:tcPr>
            <w:tcW w:w="2132" w:type="dxa"/>
            <w:tcBorders>
              <w:top w:val="single" w:color="auto" w:sz="4" w:space="0"/>
              <w:left w:val="nil"/>
              <w:bottom w:val="single" w:color="auto" w:sz="4" w:space="0"/>
              <w:right w:val="single" w:color="auto" w:sz="4" w:space="0"/>
            </w:tcBorders>
          </w:tcPr>
          <w:p w14:paraId="61E5B492">
            <w:pPr>
              <w:jc w:val="center"/>
              <w:rPr>
                <w:rFonts w:ascii="宋体" w:hAnsi="宋体" w:eastAsia="宋体"/>
              </w:rPr>
            </w:pPr>
            <w:r>
              <w:rPr>
                <w:rFonts w:hint="eastAsia" w:ascii="宋体" w:hAnsi="宋体" w:eastAsia="宋体"/>
              </w:rPr>
              <w:t>施用时间</w:t>
            </w:r>
          </w:p>
        </w:tc>
      </w:tr>
      <w:tr w14:paraId="4BF3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3E0CABAA">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6111CB16">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7F480A12">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36612ABC">
            <w:pPr>
              <w:jc w:val="center"/>
              <w:rPr>
                <w:rFonts w:ascii="宋体" w:hAnsi="宋体" w:eastAsia="宋体"/>
              </w:rPr>
            </w:pPr>
          </w:p>
        </w:tc>
      </w:tr>
      <w:tr w14:paraId="4BF8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0878D91C">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4FEFF15E">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1888E3A9">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25BF6DA1">
            <w:pPr>
              <w:jc w:val="center"/>
              <w:rPr>
                <w:rFonts w:ascii="宋体" w:hAnsi="宋体" w:eastAsia="宋体"/>
              </w:rPr>
            </w:pPr>
          </w:p>
        </w:tc>
      </w:tr>
      <w:tr w14:paraId="12B4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33BCC0A7">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402DA2B9">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3995B19D">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4869976F">
            <w:pPr>
              <w:jc w:val="center"/>
              <w:rPr>
                <w:rFonts w:ascii="宋体" w:hAnsi="宋体" w:eastAsia="宋体"/>
              </w:rPr>
            </w:pPr>
          </w:p>
        </w:tc>
      </w:tr>
      <w:tr w14:paraId="27B5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2BFBB3E9">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2CDCF5DD">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50170D6F">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4E822674">
            <w:pPr>
              <w:jc w:val="center"/>
              <w:rPr>
                <w:rFonts w:ascii="宋体" w:hAnsi="宋体" w:eastAsia="宋体"/>
              </w:rPr>
            </w:pPr>
          </w:p>
        </w:tc>
      </w:tr>
      <w:tr w14:paraId="2A54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4E333F63">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0317B555">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4F1C0D70">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5924ABA3">
            <w:pPr>
              <w:jc w:val="center"/>
              <w:rPr>
                <w:rFonts w:ascii="宋体" w:hAnsi="宋体" w:eastAsia="宋体"/>
              </w:rPr>
            </w:pPr>
          </w:p>
        </w:tc>
      </w:tr>
      <w:tr w14:paraId="4A5F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Borders>
              <w:top w:val="single" w:color="auto" w:sz="4" w:space="0"/>
              <w:left w:val="single" w:color="auto" w:sz="4" w:space="0"/>
              <w:bottom w:val="single" w:color="auto" w:sz="4" w:space="0"/>
              <w:right w:val="single" w:color="auto" w:sz="4" w:space="0"/>
            </w:tcBorders>
          </w:tcPr>
          <w:p w14:paraId="26D9EBA6">
            <w:pPr>
              <w:jc w:val="center"/>
              <w:rPr>
                <w:rFonts w:ascii="宋体" w:hAnsi="宋体" w:eastAsia="宋体"/>
              </w:rPr>
            </w:pPr>
            <w:r>
              <w:rPr>
                <w:rFonts w:hint="eastAsia" w:ascii="宋体" w:hAnsi="宋体" w:eastAsia="宋体"/>
              </w:rPr>
              <w:t>病虫草害防治情况</w:t>
            </w:r>
          </w:p>
        </w:tc>
      </w:tr>
      <w:tr w14:paraId="6679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6C50D865">
            <w:pPr>
              <w:jc w:val="center"/>
              <w:rPr>
                <w:rFonts w:ascii="宋体" w:hAnsi="宋体" w:eastAsia="宋体"/>
              </w:rPr>
            </w:pPr>
            <w:r>
              <w:rPr>
                <w:rFonts w:hint="eastAsia" w:ascii="宋体" w:hAnsi="宋体" w:eastAsia="宋体"/>
              </w:rPr>
              <w:t>名称</w:t>
            </w:r>
          </w:p>
        </w:tc>
        <w:tc>
          <w:tcPr>
            <w:tcW w:w="2130" w:type="dxa"/>
            <w:tcBorders>
              <w:top w:val="single" w:color="auto" w:sz="4" w:space="0"/>
              <w:left w:val="nil"/>
              <w:bottom w:val="single" w:color="auto" w:sz="4" w:space="0"/>
              <w:right w:val="single" w:color="auto" w:sz="4" w:space="0"/>
            </w:tcBorders>
          </w:tcPr>
          <w:p w14:paraId="75B24313">
            <w:pPr>
              <w:jc w:val="center"/>
              <w:rPr>
                <w:rFonts w:ascii="宋体" w:hAnsi="宋体" w:eastAsia="宋体"/>
              </w:rPr>
            </w:pPr>
            <w:r>
              <w:rPr>
                <w:rFonts w:hint="eastAsia" w:ascii="宋体" w:hAnsi="宋体" w:eastAsia="宋体"/>
              </w:rPr>
              <w:t>发生情况</w:t>
            </w:r>
          </w:p>
        </w:tc>
        <w:tc>
          <w:tcPr>
            <w:tcW w:w="2130" w:type="dxa"/>
            <w:tcBorders>
              <w:top w:val="single" w:color="auto" w:sz="4" w:space="0"/>
              <w:left w:val="nil"/>
              <w:bottom w:val="single" w:color="auto" w:sz="4" w:space="0"/>
              <w:right w:val="single" w:color="auto" w:sz="4" w:space="0"/>
            </w:tcBorders>
          </w:tcPr>
          <w:p w14:paraId="472B51EC">
            <w:pPr>
              <w:jc w:val="center"/>
              <w:rPr>
                <w:rFonts w:ascii="宋体" w:hAnsi="宋体" w:eastAsia="宋体"/>
              </w:rPr>
            </w:pPr>
            <w:r>
              <w:rPr>
                <w:rFonts w:hint="eastAsia" w:ascii="宋体" w:hAnsi="宋体" w:eastAsia="宋体"/>
              </w:rPr>
              <w:t>防治方法</w:t>
            </w:r>
          </w:p>
        </w:tc>
        <w:tc>
          <w:tcPr>
            <w:tcW w:w="2132" w:type="dxa"/>
            <w:tcBorders>
              <w:top w:val="single" w:color="auto" w:sz="4" w:space="0"/>
              <w:left w:val="nil"/>
              <w:bottom w:val="single" w:color="auto" w:sz="4" w:space="0"/>
              <w:right w:val="single" w:color="auto" w:sz="4" w:space="0"/>
            </w:tcBorders>
          </w:tcPr>
          <w:p w14:paraId="21F143B9">
            <w:pPr>
              <w:jc w:val="center"/>
              <w:rPr>
                <w:rFonts w:ascii="宋体" w:hAnsi="宋体" w:eastAsia="宋体"/>
              </w:rPr>
            </w:pPr>
            <w:r>
              <w:rPr>
                <w:rFonts w:hint="eastAsia" w:ascii="宋体" w:hAnsi="宋体" w:eastAsia="宋体"/>
              </w:rPr>
              <w:t>防治时间</w:t>
            </w:r>
          </w:p>
        </w:tc>
      </w:tr>
      <w:tr w14:paraId="5965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452D4C89">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5473A0B0">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238C77E0">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37162B66">
            <w:pPr>
              <w:jc w:val="center"/>
              <w:rPr>
                <w:rFonts w:ascii="宋体" w:hAnsi="宋体" w:eastAsia="宋体"/>
              </w:rPr>
            </w:pPr>
          </w:p>
        </w:tc>
      </w:tr>
      <w:tr w14:paraId="0FD9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18224004">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596ECF84">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5E4A5E1A">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032B1274">
            <w:pPr>
              <w:jc w:val="center"/>
              <w:rPr>
                <w:rFonts w:ascii="宋体" w:hAnsi="宋体" w:eastAsia="宋体"/>
              </w:rPr>
            </w:pPr>
          </w:p>
        </w:tc>
      </w:tr>
      <w:tr w14:paraId="76DE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4C785F68">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2C9802B1">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0BCE6C2E">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4B1F65BA">
            <w:pPr>
              <w:jc w:val="center"/>
              <w:rPr>
                <w:rFonts w:ascii="宋体" w:hAnsi="宋体" w:eastAsia="宋体"/>
              </w:rPr>
            </w:pPr>
          </w:p>
        </w:tc>
      </w:tr>
      <w:tr w14:paraId="280C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1BE5A9B4">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649FF2AB">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7FFBD586">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0B41235A">
            <w:pPr>
              <w:jc w:val="center"/>
              <w:rPr>
                <w:rFonts w:ascii="宋体" w:hAnsi="宋体" w:eastAsia="宋体"/>
              </w:rPr>
            </w:pPr>
          </w:p>
        </w:tc>
      </w:tr>
      <w:tr w14:paraId="0F3B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Borders>
              <w:top w:val="single" w:color="auto" w:sz="4" w:space="0"/>
              <w:left w:val="single" w:color="auto" w:sz="4" w:space="0"/>
              <w:bottom w:val="single" w:color="auto" w:sz="4" w:space="0"/>
              <w:right w:val="single" w:color="auto" w:sz="4" w:space="0"/>
            </w:tcBorders>
          </w:tcPr>
          <w:p w14:paraId="31D7A690">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482AF49C">
            <w:pPr>
              <w:jc w:val="center"/>
              <w:rPr>
                <w:rFonts w:ascii="宋体" w:hAnsi="宋体" w:eastAsia="宋体"/>
              </w:rPr>
            </w:pPr>
          </w:p>
        </w:tc>
        <w:tc>
          <w:tcPr>
            <w:tcW w:w="2130" w:type="dxa"/>
            <w:tcBorders>
              <w:top w:val="single" w:color="auto" w:sz="4" w:space="0"/>
              <w:left w:val="nil"/>
              <w:bottom w:val="single" w:color="auto" w:sz="4" w:space="0"/>
              <w:right w:val="single" w:color="auto" w:sz="4" w:space="0"/>
            </w:tcBorders>
          </w:tcPr>
          <w:p w14:paraId="6B6B91A7">
            <w:pPr>
              <w:jc w:val="center"/>
              <w:rPr>
                <w:rFonts w:ascii="宋体" w:hAnsi="宋体" w:eastAsia="宋体"/>
              </w:rPr>
            </w:pPr>
          </w:p>
        </w:tc>
        <w:tc>
          <w:tcPr>
            <w:tcW w:w="2132" w:type="dxa"/>
            <w:tcBorders>
              <w:top w:val="single" w:color="auto" w:sz="4" w:space="0"/>
              <w:left w:val="nil"/>
              <w:bottom w:val="single" w:color="auto" w:sz="4" w:space="0"/>
              <w:right w:val="single" w:color="auto" w:sz="4" w:space="0"/>
            </w:tcBorders>
          </w:tcPr>
          <w:p w14:paraId="12EB378C">
            <w:pPr>
              <w:jc w:val="center"/>
              <w:rPr>
                <w:rFonts w:ascii="宋体" w:hAnsi="宋体" w:eastAsia="宋体"/>
              </w:rPr>
            </w:pPr>
          </w:p>
        </w:tc>
      </w:tr>
      <w:bookmarkEnd w:id="75"/>
    </w:tbl>
    <w:p w14:paraId="4BA7C05F">
      <w:pPr>
        <w:pStyle w:val="56"/>
        <w:ind w:firstLine="42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0FE9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D0E4A">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A93F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2CF86">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1CF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64B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5E58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3DBAD">
    <w:pPr>
      <w:pStyle w:val="61"/>
    </w:pPr>
    <w:r>
      <w:fldChar w:fldCharType="begin"/>
    </w:r>
    <w:r>
      <w:instrText xml:space="preserve"> STYLEREF  标准文件_文件编号  \* MERGEFORMAT </w:instrText>
    </w:r>
    <w:r>
      <w:fldChar w:fldCharType="separate"/>
    </w:r>
    <w:r>
      <w:t>DB14/T 821—2024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046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821—2024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lZDA0ZWRkZTBhYTBkMjhiMWJiODY0NGNmYjdiMGEifQ=="/>
  </w:docVars>
  <w:rsids>
    <w:rsidRoot w:val="00192C7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06"/>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FCC"/>
    <w:rsid w:val="00176DFD"/>
    <w:rsid w:val="001852C9"/>
    <w:rsid w:val="00190087"/>
    <w:rsid w:val="001913C4"/>
    <w:rsid w:val="00192C7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1F6"/>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EB1"/>
    <w:rsid w:val="00243540"/>
    <w:rsid w:val="00243A7D"/>
    <w:rsid w:val="0024497B"/>
    <w:rsid w:val="0024515B"/>
    <w:rsid w:val="00246021"/>
    <w:rsid w:val="0024666E"/>
    <w:rsid w:val="00247F52"/>
    <w:rsid w:val="002501EE"/>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B95"/>
    <w:rsid w:val="003E49F6"/>
    <w:rsid w:val="003E660F"/>
    <w:rsid w:val="003F0841"/>
    <w:rsid w:val="003F23D3"/>
    <w:rsid w:val="003F3F08"/>
    <w:rsid w:val="003F49F1"/>
    <w:rsid w:val="003F6272"/>
    <w:rsid w:val="00400E72"/>
    <w:rsid w:val="00401400"/>
    <w:rsid w:val="0040308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398"/>
    <w:rsid w:val="004E59E3"/>
    <w:rsid w:val="004E67C0"/>
    <w:rsid w:val="004F391A"/>
    <w:rsid w:val="004F3CFB"/>
    <w:rsid w:val="004F6456"/>
    <w:rsid w:val="004F696E"/>
    <w:rsid w:val="004F6C71"/>
    <w:rsid w:val="00501139"/>
    <w:rsid w:val="0050363E"/>
    <w:rsid w:val="005039BC"/>
    <w:rsid w:val="005043BB"/>
    <w:rsid w:val="00504A3D"/>
    <w:rsid w:val="00505767"/>
    <w:rsid w:val="0050624C"/>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4CF"/>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50B"/>
    <w:rsid w:val="006605B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37A4"/>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0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20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E1A"/>
    <w:rsid w:val="00840617"/>
    <w:rsid w:val="00840F84"/>
    <w:rsid w:val="00842A47"/>
    <w:rsid w:val="00843C13"/>
    <w:rsid w:val="008454F8"/>
    <w:rsid w:val="0085173A"/>
    <w:rsid w:val="00852DCC"/>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2B"/>
    <w:rsid w:val="00917FCC"/>
    <w:rsid w:val="00921DD8"/>
    <w:rsid w:val="009245F5"/>
    <w:rsid w:val="009249EC"/>
    <w:rsid w:val="009273B3"/>
    <w:rsid w:val="009305B5"/>
    <w:rsid w:val="009317DC"/>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7C8"/>
    <w:rsid w:val="009C27F1"/>
    <w:rsid w:val="009C3152"/>
    <w:rsid w:val="009C4CFA"/>
    <w:rsid w:val="009C5070"/>
    <w:rsid w:val="009D112C"/>
    <w:rsid w:val="009D3CE4"/>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C9D"/>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D7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C1E"/>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96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91F"/>
    <w:rsid w:val="00CE0C4F"/>
    <w:rsid w:val="00CE30EA"/>
    <w:rsid w:val="00CE79AE"/>
    <w:rsid w:val="00CF048A"/>
    <w:rsid w:val="00CF155A"/>
    <w:rsid w:val="00CF2947"/>
    <w:rsid w:val="00CF686F"/>
    <w:rsid w:val="00CF6E60"/>
    <w:rsid w:val="00CF7BCA"/>
    <w:rsid w:val="00D008FD"/>
    <w:rsid w:val="00D009D8"/>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968"/>
    <w:rsid w:val="00D72A9C"/>
    <w:rsid w:val="00D77031"/>
    <w:rsid w:val="00D84941"/>
    <w:rsid w:val="00D84FA1"/>
    <w:rsid w:val="00D851F0"/>
    <w:rsid w:val="00D86DB7"/>
    <w:rsid w:val="00D874C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76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7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5AFA"/>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421"/>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AA1"/>
    <w:rsid w:val="00FE1FBE"/>
    <w:rsid w:val="00FE3901"/>
    <w:rsid w:val="00FE39D3"/>
    <w:rsid w:val="00FE4BCE"/>
    <w:rsid w:val="00FE54AE"/>
    <w:rsid w:val="00FE576A"/>
    <w:rsid w:val="00FE7E79"/>
    <w:rsid w:val="00FF3E7D"/>
    <w:rsid w:val="00FF5B99"/>
    <w:rsid w:val="00FF730C"/>
    <w:rsid w:val="00FF73F4"/>
    <w:rsid w:val="00FF7CE4"/>
    <w:rsid w:val="00FF7E39"/>
    <w:rsid w:val="2E320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Normal"/>
    <w:uiPriority w:val="0"/>
    <w:pPr>
      <w:jc w:val="both"/>
    </w:pPr>
    <w:rPr>
      <w:rFonts w:ascii="Times New Roman" w:hAnsi="Times New Roman" w:eastAsia="宋体" w:cs="Times New Roman"/>
      <w:kern w:val="2"/>
      <w:sz w:val="21"/>
      <w:szCs w:val="21"/>
      <w:lang w:val="en-US" w:eastAsia="zh-CN" w:bidi="ar-SA"/>
    </w:rPr>
  </w:style>
  <w:style w:type="paragraph" w:customStyle="1" w:styleId="231">
    <w:name w:val="段"/>
    <w:basedOn w:val="1"/>
    <w:uiPriority w:val="0"/>
    <w:pPr>
      <w:widowControl/>
      <w:autoSpaceDE w:val="0"/>
      <w:autoSpaceDN w:val="0"/>
      <w:adjustRightInd/>
      <w:spacing w:line="240" w:lineRule="auto"/>
      <w:ind w:firstLine="420" w:firstLineChars="200"/>
    </w:pPr>
    <w:rPr>
      <w:rFonts w:ascii="宋体" w:hAnsi="Times New Roman"/>
      <w:kern w:val="0"/>
    </w:rPr>
  </w:style>
  <w:style w:type="table" w:customStyle="1" w:styleId="232">
    <w:name w:val="网格型1"/>
    <w:basedOn w:val="26"/>
    <w:unhideWhenUsed/>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BD9D27D271B4E81805E14B68C39C73C"/>
        <w:style w:val=""/>
        <w:category>
          <w:name w:val="常规"/>
          <w:gallery w:val="placeholder"/>
        </w:category>
        <w:types>
          <w:type w:val="bbPlcHdr"/>
        </w:types>
        <w:behaviors>
          <w:behavior w:val="content"/>
        </w:behaviors>
        <w:description w:val=""/>
        <w:guid w:val="{0A7B9A14-782B-465E-BE5D-A5AB8BC2E2D1}"/>
      </w:docPartPr>
      <w:docPartBody>
        <w:p w14:paraId="2E7C561E">
          <w:pPr>
            <w:pStyle w:val="5"/>
          </w:pPr>
          <w:r>
            <w:rPr>
              <w:rStyle w:val="4"/>
              <w:rFonts w:hint="eastAsia"/>
            </w:rPr>
            <w:t>单击或点击此处输入文字。</w:t>
          </w:r>
        </w:p>
      </w:docPartBody>
    </w:docPart>
    <w:docPart>
      <w:docPartPr>
        <w:name w:val="D509E651509842B1A3D1266D186C58D9"/>
        <w:style w:val=""/>
        <w:category>
          <w:name w:val="常规"/>
          <w:gallery w:val="placeholder"/>
        </w:category>
        <w:types>
          <w:type w:val="bbPlcHdr"/>
        </w:types>
        <w:behaviors>
          <w:behavior w:val="content"/>
        </w:behaviors>
        <w:description w:val=""/>
        <w:guid w:val="{E7E12C11-3EFF-47BE-9C97-DD5D65EDD85D}"/>
      </w:docPartPr>
      <w:docPartBody>
        <w:p w14:paraId="07C28F1D">
          <w:pPr>
            <w:pStyle w:val="6"/>
          </w:pPr>
          <w:r>
            <w:rPr>
              <w:rStyle w:val="4"/>
              <w:rFonts w:hint="eastAsia"/>
            </w:rPr>
            <w:t>选择一项。</w:t>
          </w:r>
        </w:p>
      </w:docPartBody>
    </w:docPart>
    <w:docPart>
      <w:docPartPr>
        <w:name w:val="B2513C7A76B4436CAF1FB4101B835EFC"/>
        <w:style w:val=""/>
        <w:category>
          <w:name w:val="常规"/>
          <w:gallery w:val="placeholder"/>
        </w:category>
        <w:types>
          <w:type w:val="bbPlcHdr"/>
        </w:types>
        <w:behaviors>
          <w:behavior w:val="content"/>
        </w:behaviors>
        <w:description w:val=""/>
        <w:guid w:val="{D43BC5E8-1FFA-4560-9B36-8E47D44C3FF7}"/>
      </w:docPartPr>
      <w:docPartBody>
        <w:p w14:paraId="0FBA814A">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545"/>
    <w:rsid w:val="00477545"/>
    <w:rsid w:val="006144A3"/>
    <w:rsid w:val="007234C8"/>
    <w:rsid w:val="00724AAA"/>
    <w:rsid w:val="00E47334"/>
    <w:rsid w:val="00E62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BD9D27D271B4E81805E14B68C39C73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509E651509842B1A3D1266D186C58D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2513C7A76B4436CAF1FB4101B835EF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28D14-40A5-4BBB-A4C2-257EB7C2029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2603</Words>
  <Characters>3011</Characters>
  <Lines>31</Lines>
  <Paragraphs>8</Paragraphs>
  <TotalTime>0</TotalTime>
  <ScaleCrop>false</ScaleCrop>
  <LinksUpToDate>false</LinksUpToDate>
  <CharactersWithSpaces>3175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2024-10-28T08:50:00Z</dcterms:created>
  <dc:creator>zdm</dc:creator>
  <dc:description>&lt;config cover="true" show_menu="true" version="1.0.0" doctype="SDKXY"&gt;_x000d_
&lt;/config&gt;</dc:description>
  <cp:lastModifiedBy>娜儿</cp:lastModifiedBy>
  <cp:lastPrinted>2024-10-28T08:40:00Z</cp:lastPrinted>
  <dcterms:modified xsi:type="dcterms:W3CDTF">2024-10-28T10:25:03Z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75F30F20E7884D1C8D24F5C0B823DDAD_12</vt:lpwstr>
  </property>
</Properties>
</file>